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361" w:rsidRDefault="00335D42" w:rsidP="00847C27">
      <w:pPr>
        <w:pStyle w:val="Bezodstpw"/>
        <w:spacing w:line="360" w:lineRule="auto"/>
        <w:rPr>
          <w:b/>
        </w:rPr>
      </w:pPr>
      <w:r>
        <w:rPr>
          <w:b/>
        </w:rPr>
        <w:t>1.</w:t>
      </w:r>
      <w:r w:rsidR="00CD6361">
        <w:rPr>
          <w:b/>
        </w:rPr>
        <w:t xml:space="preserve"> </w:t>
      </w:r>
      <w:r w:rsidR="00CD6361" w:rsidRPr="000F0498">
        <w:rPr>
          <w:b/>
        </w:rPr>
        <w:t>Zasada obywatelstwa</w:t>
      </w:r>
      <w:r>
        <w:rPr>
          <w:b/>
        </w:rPr>
        <w:t>.</w:t>
      </w:r>
    </w:p>
    <w:p w:rsidR="00335D42" w:rsidRPr="000F0498" w:rsidRDefault="00335D42" w:rsidP="00847C27">
      <w:pPr>
        <w:pStyle w:val="Bezodstpw"/>
        <w:spacing w:line="360" w:lineRule="auto"/>
        <w:rPr>
          <w:b/>
        </w:rPr>
      </w:pPr>
    </w:p>
    <w:p w:rsidR="00CD6361" w:rsidRPr="00800572" w:rsidRDefault="00CD6361" w:rsidP="00847C27">
      <w:pPr>
        <w:pStyle w:val="Tekstpodstawowyzwciciem"/>
        <w:spacing w:line="360" w:lineRule="auto"/>
        <w:rPr>
          <w:rFonts w:cs="Times New Roman"/>
          <w:szCs w:val="24"/>
        </w:rPr>
      </w:pPr>
      <w:r w:rsidRPr="00800572">
        <w:rPr>
          <w:rFonts w:cs="Times New Roman"/>
          <w:szCs w:val="24"/>
        </w:rPr>
        <w:t xml:space="preserve">Zasada obywatelstwa jest charakterystyczna dla kontynentalnej kultury prawnej. Przedstawiciele systemu </w:t>
      </w:r>
      <w:proofErr w:type="spellStart"/>
      <w:r w:rsidRPr="00335D42">
        <w:rPr>
          <w:rFonts w:cs="Times New Roman"/>
          <w:szCs w:val="24"/>
        </w:rPr>
        <w:t>common</w:t>
      </w:r>
      <w:proofErr w:type="spellEnd"/>
      <w:r w:rsidRPr="00335D42">
        <w:rPr>
          <w:rFonts w:cs="Times New Roman"/>
          <w:szCs w:val="24"/>
        </w:rPr>
        <w:t xml:space="preserve"> law</w:t>
      </w:r>
      <w:r w:rsidRPr="00800572">
        <w:rPr>
          <w:rFonts w:cs="Times New Roman"/>
          <w:szCs w:val="24"/>
        </w:rPr>
        <w:t xml:space="preserve"> uznają ją za </w:t>
      </w:r>
      <w:r w:rsidRPr="00800572">
        <w:rPr>
          <w:rFonts w:cs="Times New Roman"/>
          <w:i/>
          <w:szCs w:val="24"/>
        </w:rPr>
        <w:t xml:space="preserve">stricte </w:t>
      </w:r>
      <w:r w:rsidRPr="00800572">
        <w:rPr>
          <w:rFonts w:cs="Times New Roman"/>
          <w:szCs w:val="24"/>
        </w:rPr>
        <w:t>polityczną</w:t>
      </w:r>
      <w:r w:rsidRPr="00800572">
        <w:rPr>
          <w:rStyle w:val="Odwoanieprzypisudolnego"/>
          <w:rFonts w:cs="Times New Roman"/>
          <w:szCs w:val="24"/>
        </w:rPr>
        <w:footnoteReference w:id="1"/>
      </w:r>
      <w:r w:rsidRPr="00800572">
        <w:rPr>
          <w:rFonts w:cs="Times New Roman"/>
          <w:szCs w:val="24"/>
        </w:rPr>
        <w:t xml:space="preserve">. Ten pogląd zyskał ogólną aprobatę doktryny anglosaskiej w 1880 roku, gdy w trakcie posiedzenia </w:t>
      </w:r>
      <w:proofErr w:type="spellStart"/>
      <w:r w:rsidRPr="00800572">
        <w:rPr>
          <w:rFonts w:cs="Times New Roman"/>
          <w:i/>
          <w:iCs/>
          <w:szCs w:val="24"/>
        </w:rPr>
        <w:t>Institut</w:t>
      </w:r>
      <w:proofErr w:type="spellEnd"/>
      <w:r w:rsidRPr="00800572">
        <w:rPr>
          <w:rFonts w:cs="Times New Roman"/>
          <w:i/>
          <w:iCs/>
          <w:szCs w:val="24"/>
        </w:rPr>
        <w:t xml:space="preserve"> de </w:t>
      </w:r>
      <w:proofErr w:type="spellStart"/>
      <w:r w:rsidRPr="00800572">
        <w:rPr>
          <w:rFonts w:cs="Times New Roman"/>
          <w:i/>
          <w:iCs/>
          <w:szCs w:val="24"/>
        </w:rPr>
        <w:t>Droit</w:t>
      </w:r>
      <w:proofErr w:type="spellEnd"/>
      <w:r w:rsidRPr="00800572">
        <w:rPr>
          <w:rFonts w:cs="Times New Roman"/>
          <w:i/>
          <w:iCs/>
          <w:szCs w:val="24"/>
        </w:rPr>
        <w:t xml:space="preserve"> International</w:t>
      </w:r>
      <w:r w:rsidRPr="00800572">
        <w:rPr>
          <w:rFonts w:cs="Times New Roman"/>
          <w:iCs/>
          <w:szCs w:val="24"/>
        </w:rPr>
        <w:t xml:space="preserve"> </w:t>
      </w:r>
      <w:r w:rsidRPr="00800572">
        <w:rPr>
          <w:rFonts w:cs="Times New Roman"/>
          <w:szCs w:val="24"/>
        </w:rPr>
        <w:t>w Oxfordzie sformułowano wezwanie do porzucenia przez państwa „</w:t>
      </w:r>
      <w:proofErr w:type="spellStart"/>
      <w:r w:rsidRPr="00800572">
        <w:rPr>
          <w:rFonts w:cs="Times New Roman"/>
          <w:i/>
          <w:szCs w:val="24"/>
        </w:rPr>
        <w:t>their</w:t>
      </w:r>
      <w:proofErr w:type="spellEnd"/>
      <w:r w:rsidRPr="00800572">
        <w:rPr>
          <w:rFonts w:cs="Times New Roman"/>
          <w:i/>
          <w:szCs w:val="24"/>
        </w:rPr>
        <w:t xml:space="preserve"> policy of non-</w:t>
      </w:r>
      <w:proofErr w:type="spellStart"/>
      <w:r w:rsidRPr="00800572">
        <w:rPr>
          <w:rFonts w:cs="Times New Roman"/>
          <w:i/>
          <w:szCs w:val="24"/>
        </w:rPr>
        <w:t>extradition</w:t>
      </w:r>
      <w:proofErr w:type="spellEnd"/>
      <w:r w:rsidRPr="00800572">
        <w:rPr>
          <w:rFonts w:cs="Times New Roman"/>
          <w:szCs w:val="24"/>
        </w:rPr>
        <w:t>”</w:t>
      </w:r>
      <w:r w:rsidRPr="00800572">
        <w:rPr>
          <w:rStyle w:val="Odwoanieprzypisudolnego"/>
          <w:rFonts w:cs="Times New Roman"/>
          <w:szCs w:val="24"/>
        </w:rPr>
        <w:footnoteReference w:id="2"/>
      </w:r>
      <w:r w:rsidRPr="00800572">
        <w:rPr>
          <w:rFonts w:cs="Times New Roman"/>
          <w:i/>
          <w:szCs w:val="24"/>
        </w:rPr>
        <w:t xml:space="preserve"> </w:t>
      </w:r>
      <w:r w:rsidRPr="00800572">
        <w:rPr>
          <w:rFonts w:cs="Times New Roman"/>
          <w:szCs w:val="24"/>
        </w:rPr>
        <w:t>i stwierdzono, iż przekazanie przestępcy, jeśli jest konieczne dla dobra wymiaru sprawiedliwości, choćby przez wzgląd na bliskość materiału dowodowego, w żaden sposób nie uchybia godności narodu. Stanowisko to ostatecznie przypieczętowała w 1968 roku wypowiedź Przewodniczącego Izby Gmin, który stwierdził, iż nie może budzić oburzenia fakt dostarczenia Anglika w ręce zagranicznych sędziów, ponieważ jest on przede wszystkim przestępcą, a dopiero później obywatelem Zjednoczonego Królestwa</w:t>
      </w:r>
      <w:r w:rsidR="00335D42">
        <w:rPr>
          <w:rFonts w:cs="Times New Roman"/>
          <w:szCs w:val="24"/>
        </w:rPr>
        <w:t>.</w:t>
      </w:r>
      <w:r w:rsidRPr="00800572">
        <w:rPr>
          <w:rStyle w:val="Odwoanieprzypisudolnego"/>
          <w:rFonts w:cs="Times New Roman"/>
          <w:szCs w:val="24"/>
        </w:rPr>
        <w:footnoteReference w:id="3"/>
      </w:r>
      <w:r w:rsidRPr="00800572">
        <w:rPr>
          <w:rFonts w:cs="Times New Roman"/>
          <w:szCs w:val="24"/>
        </w:rPr>
        <w:t xml:space="preserve"> </w:t>
      </w:r>
    </w:p>
    <w:p w:rsidR="00CD6361" w:rsidRPr="00800572" w:rsidRDefault="00CD6361" w:rsidP="00847C27">
      <w:pPr>
        <w:pStyle w:val="Tekstpodstawowyzwciciem"/>
        <w:spacing w:line="360" w:lineRule="auto"/>
        <w:rPr>
          <w:rFonts w:cs="Times New Roman"/>
          <w:szCs w:val="24"/>
        </w:rPr>
      </w:pPr>
      <w:r w:rsidRPr="00800572">
        <w:rPr>
          <w:rFonts w:cs="Times New Roman"/>
          <w:szCs w:val="24"/>
        </w:rPr>
        <w:t xml:space="preserve">Inaczej kształtowało się podejście w systemie prawa kontynentalnego, znajdujące umocowanie w niemieckiej doktrynie „obowiązku wierności państwa wobec własnych obywateli”, czyli </w:t>
      </w:r>
      <w:proofErr w:type="spellStart"/>
      <w:r w:rsidRPr="00800572">
        <w:rPr>
          <w:rFonts w:cs="Times New Roman"/>
          <w:i/>
          <w:szCs w:val="24"/>
        </w:rPr>
        <w:t>Treupflicht</w:t>
      </w:r>
      <w:proofErr w:type="spellEnd"/>
      <w:r w:rsidRPr="00FE1285">
        <w:rPr>
          <w:rStyle w:val="Odwoanieprzypisudolnego"/>
          <w:rFonts w:cs="Times New Roman"/>
          <w:szCs w:val="24"/>
        </w:rPr>
        <w:footnoteReference w:id="4"/>
      </w:r>
      <w:r w:rsidRPr="00800572">
        <w:rPr>
          <w:rFonts w:cs="Times New Roman"/>
          <w:i/>
          <w:szCs w:val="24"/>
        </w:rPr>
        <w:t xml:space="preserve">. </w:t>
      </w:r>
      <w:r w:rsidRPr="00800572">
        <w:rPr>
          <w:rFonts w:cs="Times New Roman"/>
          <w:szCs w:val="24"/>
        </w:rPr>
        <w:t>Obywatelstwo jest szczególnym węzłem prawnym łączącym jednostkę z państwem. Z jego istoty wypływa obowiązek lojalności i wierności obywatela oraz zwierzchnictwo osobowe państwa. Obywatel ma także prawo oczekiwać od państwa skutecznej opieki i ochrony interesów</w:t>
      </w:r>
      <w:r w:rsidRPr="00800572">
        <w:rPr>
          <w:rStyle w:val="Odwoanieprzypisudolnego"/>
          <w:rFonts w:cs="Times New Roman"/>
          <w:szCs w:val="24"/>
        </w:rPr>
        <w:footnoteReference w:id="5"/>
      </w:r>
      <w:r w:rsidRPr="00800572">
        <w:rPr>
          <w:rFonts w:cs="Times New Roman"/>
          <w:szCs w:val="24"/>
        </w:rPr>
        <w:t>. W państwach długo pokutowało głęboko zakorzenione przekonanie o wyższości rodzimego aparatu ścigania karnego, prym wiódł także postulat zapewnienia efektywnej obrony, co determinowało wyobrażenie o poziomie rzetelności procesu w obcym państwie. Musiało zostać ono jednak porzucone z racji na treść jednego z kryteriów kopenhaskich, którego spełnienie warunkuje uzyskanie członkostwa w UE</w:t>
      </w:r>
      <w:r w:rsidR="00847C27">
        <w:rPr>
          <w:rFonts w:cs="Times New Roman"/>
          <w:szCs w:val="24"/>
        </w:rPr>
        <w:t>,</w:t>
      </w:r>
      <w:r w:rsidR="0091705E">
        <w:rPr>
          <w:rFonts w:cs="Times New Roman"/>
          <w:szCs w:val="24"/>
        </w:rPr>
        <w:t xml:space="preserve"> </w:t>
      </w:r>
      <w:proofErr w:type="spellStart"/>
      <w:r w:rsidR="0091705E">
        <w:rPr>
          <w:rFonts w:cs="Times New Roman"/>
          <w:szCs w:val="24"/>
        </w:rPr>
        <w:t>tj</w:t>
      </w:r>
      <w:proofErr w:type="spellEnd"/>
      <w:r w:rsidRPr="00800572">
        <w:rPr>
          <w:rFonts w:cs="Times New Roman"/>
          <w:szCs w:val="24"/>
        </w:rPr>
        <w:t xml:space="preserve"> zobowiązanie państwa-pretendenta do urzeczywistnienia stabilnych rządów prawa. Także w pol</w:t>
      </w:r>
      <w:r w:rsidR="002B460C">
        <w:rPr>
          <w:rFonts w:cs="Times New Roman"/>
          <w:szCs w:val="24"/>
        </w:rPr>
        <w:t>skim systemie prawnym dominowała</w:t>
      </w:r>
      <w:r w:rsidRPr="00800572">
        <w:rPr>
          <w:rFonts w:cs="Times New Roman"/>
          <w:szCs w:val="24"/>
        </w:rPr>
        <w:t xml:space="preserve"> stanowisko uznające przekazanie za naruszenie personalnej więzi, przejawiającej się w prawie obywatela do ponoszenia odpowiedzialności przed ojczystym sądem</w:t>
      </w:r>
      <w:r w:rsidRPr="00800572">
        <w:rPr>
          <w:rStyle w:val="Odwoanieprzypisudolnego"/>
          <w:rFonts w:cs="Times New Roman"/>
          <w:szCs w:val="24"/>
        </w:rPr>
        <w:footnoteReference w:id="6"/>
      </w:r>
      <w:r w:rsidRPr="00800572">
        <w:rPr>
          <w:rFonts w:cs="Times New Roman"/>
          <w:szCs w:val="24"/>
        </w:rPr>
        <w:t>. Zasada ta zbiega się z funkcjonowaniem zasady terytorialności (art. 5 Kodeksu karnego (ustawa z dnia 6 czerwca 1997 r., Dz.</w:t>
      </w:r>
      <w:r w:rsidR="00335D42">
        <w:rPr>
          <w:rFonts w:cs="Times New Roman"/>
          <w:szCs w:val="24"/>
        </w:rPr>
        <w:t xml:space="preserve"> U. n</w:t>
      </w:r>
      <w:r w:rsidRPr="00800572">
        <w:rPr>
          <w:rFonts w:cs="Times New Roman"/>
          <w:szCs w:val="24"/>
        </w:rPr>
        <w:t xml:space="preserve">r 88, poz. 553 ze zm., dalej: k.k.) i wyrażonym wprost w art. 604 § 1 pkt 1 Kodeksu postępowania </w:t>
      </w:r>
      <w:r w:rsidRPr="00800572">
        <w:rPr>
          <w:rFonts w:cs="Times New Roman"/>
          <w:szCs w:val="24"/>
        </w:rPr>
        <w:lastRenderedPageBreak/>
        <w:t>karnego (ustawa z dnia 6</w:t>
      </w:r>
      <w:r w:rsidR="0091705E">
        <w:rPr>
          <w:rFonts w:cs="Times New Roman"/>
          <w:szCs w:val="24"/>
        </w:rPr>
        <w:t xml:space="preserve"> czerwca 1997 r., Dz.U. Nr 89, P</w:t>
      </w:r>
      <w:r w:rsidRPr="00800572">
        <w:rPr>
          <w:rFonts w:cs="Times New Roman"/>
          <w:szCs w:val="24"/>
        </w:rPr>
        <w:t xml:space="preserve">oz. 555 ze zm., dalej: k.p.k.) zakazem ekstradycji obywatela polskiego, co poddaje w wątpliwość możliwość internacjonalizacji kwestii odpowiedzialności karnej. Zasady zdefiniowane ustawowo są wyrazem norm konstytucyjnych (art. 37 w zw. z art. 45 i art. 55 ust. 1 Konstytucji Rzeczypospolitej Polskiej z dnia 2 kwietnia 1997 r., Dz.U. Nr 78, poz. 483 ze zm., dalej: Konstytucja RP), dlatego konieczne było wprowadzenie w polskiej ustawie zasadniczej odpowiednich zmian dostosowawczych, sama </w:t>
      </w:r>
      <w:proofErr w:type="spellStart"/>
      <w:r w:rsidRPr="00800572">
        <w:rPr>
          <w:rFonts w:cs="Times New Roman"/>
          <w:szCs w:val="24"/>
        </w:rPr>
        <w:t>prounijna</w:t>
      </w:r>
      <w:proofErr w:type="spellEnd"/>
      <w:r w:rsidRPr="00800572">
        <w:rPr>
          <w:rFonts w:cs="Times New Roman"/>
          <w:szCs w:val="24"/>
        </w:rPr>
        <w:t xml:space="preserve"> wykładnia okazała się już instrumentem niewystarczającym. W pierwszych miesiącach </w:t>
      </w:r>
      <w:r w:rsidR="00335D42">
        <w:rPr>
          <w:rFonts w:cs="Times New Roman"/>
          <w:szCs w:val="24"/>
        </w:rPr>
        <w:t>obowiązywania nowej regulacji, S</w:t>
      </w:r>
      <w:r w:rsidRPr="00800572">
        <w:rPr>
          <w:rFonts w:cs="Times New Roman"/>
          <w:szCs w:val="24"/>
        </w:rPr>
        <w:t>ąd Okręgowy w Gdańsku skierował do Trybunału Konstytucyjnego pytanie prawne dotycz</w:t>
      </w:r>
      <w:r w:rsidR="006D1790">
        <w:rPr>
          <w:rFonts w:cs="Times New Roman"/>
          <w:szCs w:val="24"/>
        </w:rPr>
        <w:t xml:space="preserve">ące zgodności art. 607t § 1 </w:t>
      </w:r>
      <w:proofErr w:type="spellStart"/>
      <w:r w:rsidR="006D1790">
        <w:rPr>
          <w:rFonts w:cs="Times New Roman"/>
          <w:szCs w:val="24"/>
        </w:rPr>
        <w:t>Kpk</w:t>
      </w:r>
      <w:proofErr w:type="spellEnd"/>
      <w:r w:rsidRPr="00800572">
        <w:rPr>
          <w:rFonts w:cs="Times New Roman"/>
          <w:szCs w:val="24"/>
        </w:rPr>
        <w:t xml:space="preserve"> w brzmieniu po wprowadzonej zmianie z art. </w:t>
      </w:r>
      <w:r w:rsidR="00FF1408">
        <w:rPr>
          <w:rFonts w:cs="Times New Roman"/>
          <w:szCs w:val="24"/>
        </w:rPr>
        <w:t xml:space="preserve">56 </w:t>
      </w:r>
      <w:r w:rsidRPr="00800572">
        <w:rPr>
          <w:rFonts w:cs="Times New Roman"/>
          <w:szCs w:val="24"/>
        </w:rPr>
        <w:t>ust. 1 Konstytucji RP (ustanawiający zakaz ekstradycji obywatela polskiego), w związku z toczącym się postępowaniem w przedmiocie przekazania polskiej obywatelki do Królestwa Niderlandów. Trybunał orzekł o sprzeczności tej regulacji z normą konstytucyjną (wyrok Trybunału Konstytucyjnego z dnia 27 kwietnia 2005 r., sygn. P 1/05, Orzecznictwo Trybunału Konstytucyjnego. Zeszyty Urzędowe 2005, nr 4A).</w:t>
      </w:r>
    </w:p>
    <w:p w:rsidR="00CD6361" w:rsidRDefault="00CD6361" w:rsidP="00847C27">
      <w:pPr>
        <w:pStyle w:val="Tekstpodstawowyzwciciem"/>
        <w:spacing w:line="360" w:lineRule="auto"/>
        <w:rPr>
          <w:rFonts w:cs="Times New Roman"/>
          <w:szCs w:val="24"/>
        </w:rPr>
      </w:pPr>
      <w:r w:rsidRPr="00800572">
        <w:rPr>
          <w:rFonts w:cs="Times New Roman"/>
          <w:szCs w:val="24"/>
        </w:rPr>
        <w:t xml:space="preserve">Po debacie publicznej we wrześniu 2006 roku została uchwalona ustawa o zmianie Konstytucji RP (ustawa z dnia 8 września 2006 r., Dz.U. Nr 200, poz. 1471), która weszła w życie 7 listopada 2006 r. W przedmiotowym artykule dokonano radykalnej zmiany, która pozwoliła na zsynchronizowanie regulacji konstytucyjnej z wcześniej wprowadzonymi normami kodeksowymi. Nie ograniczono jednak zastosowania ust. 4, w którym została zdefiniowana jedna z tradycyjnych </w:t>
      </w:r>
      <w:proofErr w:type="gramStart"/>
      <w:r w:rsidRPr="00800572">
        <w:rPr>
          <w:rFonts w:cs="Times New Roman"/>
          <w:szCs w:val="24"/>
        </w:rPr>
        <w:t xml:space="preserve">przeszkód </w:t>
      </w:r>
      <w:r w:rsidR="0091705E">
        <w:rPr>
          <w:rFonts w:cs="Times New Roman"/>
          <w:szCs w:val="24"/>
        </w:rPr>
        <w:t xml:space="preserve"> </w:t>
      </w:r>
      <w:r w:rsidRPr="00800572">
        <w:rPr>
          <w:rFonts w:cs="Times New Roman"/>
          <w:szCs w:val="24"/>
        </w:rPr>
        <w:t>ekstradycyjnych</w:t>
      </w:r>
      <w:proofErr w:type="gramEnd"/>
      <w:r w:rsidRPr="00800572">
        <w:rPr>
          <w:rFonts w:cs="Times New Roman"/>
          <w:szCs w:val="24"/>
        </w:rPr>
        <w:t>, tj. polityczny charakter przestępstwa, z</w:t>
      </w:r>
      <w:r w:rsidR="00FF1408">
        <w:rPr>
          <w:rFonts w:cs="Times New Roman"/>
          <w:szCs w:val="24"/>
        </w:rPr>
        <w:t>aś w ustępie</w:t>
      </w:r>
      <w:r w:rsidRPr="00800572">
        <w:rPr>
          <w:rFonts w:cs="Times New Roman"/>
          <w:szCs w:val="24"/>
        </w:rPr>
        <w:t xml:space="preserve"> 2 znajdziemy urzeczywistnienie klasycznej zasady terytorialności, poprzez wskazanie na konieczność popełnienia czynu poza terytorium Rzeczpospolitej, jako niezbędny warunek wydania. Wymagania te jawnie kolidują z postanowieniami decyzji w sprawie ENA</w:t>
      </w:r>
      <w:r w:rsidR="0091705E">
        <w:rPr>
          <w:rFonts w:cs="Times New Roman"/>
          <w:szCs w:val="24"/>
        </w:rPr>
        <w:t>.</w:t>
      </w:r>
      <w:r w:rsidRPr="00800572">
        <w:rPr>
          <w:rStyle w:val="Odwoanieprzypisudolnego"/>
          <w:rFonts w:cs="Times New Roman"/>
          <w:szCs w:val="24"/>
        </w:rPr>
        <w:footnoteReference w:id="7"/>
      </w:r>
    </w:p>
    <w:p w:rsidR="006D1790" w:rsidRDefault="006D1790" w:rsidP="00847C27">
      <w:pPr>
        <w:pStyle w:val="Tekstpodstawowyzwciciem"/>
        <w:spacing w:line="360" w:lineRule="auto"/>
        <w:rPr>
          <w:rFonts w:cs="Times New Roman"/>
          <w:szCs w:val="24"/>
        </w:rPr>
      </w:pPr>
    </w:p>
    <w:p w:rsidR="006D1790" w:rsidRDefault="006D1790" w:rsidP="00847C27">
      <w:pPr>
        <w:pStyle w:val="Tekstpodstawowyzwciciem"/>
        <w:spacing w:line="360" w:lineRule="auto"/>
        <w:rPr>
          <w:rFonts w:cs="Times New Roman"/>
          <w:szCs w:val="24"/>
        </w:rPr>
      </w:pPr>
    </w:p>
    <w:p w:rsidR="006D1790" w:rsidRPr="00800572" w:rsidRDefault="006D1790" w:rsidP="00847C27">
      <w:pPr>
        <w:pStyle w:val="Tekstpodstawowyzwciciem"/>
        <w:spacing w:line="360" w:lineRule="auto"/>
        <w:rPr>
          <w:rFonts w:cs="Times New Roman"/>
          <w:szCs w:val="24"/>
        </w:rPr>
      </w:pPr>
    </w:p>
    <w:p w:rsidR="00CD6361" w:rsidRDefault="00FF1408" w:rsidP="00847C27">
      <w:pPr>
        <w:pStyle w:val="Bezodstpw"/>
        <w:spacing w:line="360" w:lineRule="auto"/>
        <w:rPr>
          <w:b/>
        </w:rPr>
      </w:pPr>
      <w:r>
        <w:rPr>
          <w:b/>
        </w:rPr>
        <w:t xml:space="preserve">2. </w:t>
      </w:r>
      <w:r w:rsidR="00CD6361" w:rsidRPr="000F0498">
        <w:rPr>
          <w:b/>
        </w:rPr>
        <w:t>Zasada podwójnej karalności</w:t>
      </w:r>
      <w:r w:rsidR="00CD6361" w:rsidRPr="000F0498">
        <w:rPr>
          <w:b/>
        </w:rPr>
        <w:tab/>
      </w:r>
    </w:p>
    <w:p w:rsidR="006D1790" w:rsidRDefault="006D1790" w:rsidP="00847C27">
      <w:pPr>
        <w:pStyle w:val="Bezodstpw"/>
        <w:spacing w:line="360" w:lineRule="auto"/>
        <w:rPr>
          <w:b/>
        </w:rPr>
      </w:pPr>
    </w:p>
    <w:p w:rsidR="006D1790" w:rsidRDefault="006D1790" w:rsidP="00847C27">
      <w:pPr>
        <w:pStyle w:val="Bezodstpw"/>
        <w:spacing w:line="360" w:lineRule="auto"/>
        <w:rPr>
          <w:b/>
        </w:rPr>
      </w:pPr>
    </w:p>
    <w:p w:rsidR="006D1790" w:rsidRDefault="006D1790" w:rsidP="00847C27">
      <w:pPr>
        <w:pStyle w:val="Bezodstpw"/>
        <w:spacing w:line="360" w:lineRule="auto"/>
        <w:rPr>
          <w:b/>
        </w:rPr>
      </w:pPr>
    </w:p>
    <w:p w:rsidR="006D1790" w:rsidRDefault="006D1790" w:rsidP="00847C27">
      <w:pPr>
        <w:pStyle w:val="Bezodstpw"/>
        <w:spacing w:line="360" w:lineRule="auto"/>
        <w:rPr>
          <w:b/>
        </w:rPr>
      </w:pPr>
    </w:p>
    <w:p w:rsidR="006D1790" w:rsidRDefault="006D1790" w:rsidP="00847C27">
      <w:pPr>
        <w:pStyle w:val="Bezodstpw"/>
        <w:spacing w:line="360" w:lineRule="auto"/>
        <w:rPr>
          <w:rFonts w:cs="Times New Roman"/>
          <w:szCs w:val="24"/>
        </w:rPr>
      </w:pPr>
    </w:p>
    <w:p w:rsidR="00CD6361" w:rsidRPr="00800572" w:rsidRDefault="00CD6361" w:rsidP="00847C27">
      <w:pPr>
        <w:pStyle w:val="Tekstpodstawowyzwciciem"/>
        <w:spacing w:line="360" w:lineRule="auto"/>
        <w:rPr>
          <w:rFonts w:cs="Times New Roman"/>
          <w:szCs w:val="24"/>
        </w:rPr>
      </w:pPr>
      <w:r w:rsidRPr="00800572">
        <w:rPr>
          <w:rFonts w:cs="Times New Roman"/>
          <w:szCs w:val="24"/>
        </w:rPr>
        <w:t xml:space="preserve">Wymóg podwójnej karalności, który zgodnie z brzmieniem art. 2 ust. 2 decyzji ramowej został wyłączony w stosunku do grupy 32 tzw. przestępstw europejskich, należy traktować jako tradycyjną przeszkodę ekstradycyjną. Jest też powszechnie uznawany jako eksplikacja prawnokarnej zasady </w:t>
      </w:r>
      <w:proofErr w:type="spellStart"/>
      <w:r w:rsidRPr="00800572">
        <w:rPr>
          <w:rFonts w:cs="Times New Roman"/>
          <w:i/>
          <w:szCs w:val="24"/>
        </w:rPr>
        <w:t>nullum</w:t>
      </w:r>
      <w:proofErr w:type="spellEnd"/>
      <w:r w:rsidRPr="00800572">
        <w:rPr>
          <w:rFonts w:cs="Times New Roman"/>
          <w:i/>
          <w:szCs w:val="24"/>
        </w:rPr>
        <w:t xml:space="preserve"> </w:t>
      </w:r>
      <w:proofErr w:type="spellStart"/>
      <w:r w:rsidRPr="00800572">
        <w:rPr>
          <w:rFonts w:cs="Times New Roman"/>
          <w:i/>
          <w:szCs w:val="24"/>
        </w:rPr>
        <w:t>crimen</w:t>
      </w:r>
      <w:proofErr w:type="spellEnd"/>
      <w:r w:rsidRPr="00800572">
        <w:rPr>
          <w:rFonts w:cs="Times New Roman"/>
          <w:i/>
          <w:szCs w:val="24"/>
        </w:rPr>
        <w:t xml:space="preserve"> sine lege</w:t>
      </w:r>
      <w:r w:rsidRPr="00800572">
        <w:rPr>
          <w:rStyle w:val="Odwoanieprzypisudolnego"/>
          <w:rFonts w:cs="Times New Roman"/>
          <w:szCs w:val="24"/>
        </w:rPr>
        <w:footnoteReference w:id="8"/>
      </w:r>
      <w:r w:rsidRPr="00800572">
        <w:rPr>
          <w:rFonts w:cs="Times New Roman"/>
          <w:szCs w:val="24"/>
        </w:rPr>
        <w:t>,</w:t>
      </w:r>
      <w:r w:rsidRPr="00800572">
        <w:rPr>
          <w:rFonts w:cs="Times New Roman"/>
          <w:i/>
          <w:szCs w:val="24"/>
        </w:rPr>
        <w:t xml:space="preserve"> </w:t>
      </w:r>
      <w:r w:rsidRPr="00800572">
        <w:rPr>
          <w:rFonts w:cs="Times New Roman"/>
          <w:szCs w:val="24"/>
        </w:rPr>
        <w:t>która znajduje swoje umocowanie w art. 7 Konwencji o ochronie praw człowieka i podstawowych wolności sporządzonej w Rzymie dnia 4 listopada 1950 r., zmienionej następnie Protokołami nr 3, 5 i 8 oraz uzupełnionej Protokołem nr 2 (Dz.U. z 1993 r.</w:t>
      </w:r>
      <w:r w:rsidR="00FF1408">
        <w:rPr>
          <w:rFonts w:cs="Times New Roman"/>
          <w:szCs w:val="24"/>
        </w:rPr>
        <w:t>,</w:t>
      </w:r>
      <w:r w:rsidRPr="00800572">
        <w:rPr>
          <w:rFonts w:cs="Times New Roman"/>
          <w:szCs w:val="24"/>
        </w:rPr>
        <w:t xml:space="preserve"> Nr 61 poz. 284) – dalej: Europejska konwencja. Standard </w:t>
      </w:r>
      <w:proofErr w:type="spellStart"/>
      <w:r w:rsidRPr="00800572">
        <w:rPr>
          <w:rFonts w:cs="Times New Roman"/>
          <w:i/>
          <w:szCs w:val="24"/>
        </w:rPr>
        <w:t>nullum</w:t>
      </w:r>
      <w:proofErr w:type="spellEnd"/>
      <w:r w:rsidRPr="00800572">
        <w:rPr>
          <w:rFonts w:cs="Times New Roman"/>
          <w:i/>
          <w:szCs w:val="24"/>
        </w:rPr>
        <w:t xml:space="preserve"> </w:t>
      </w:r>
      <w:proofErr w:type="spellStart"/>
      <w:r w:rsidRPr="00800572">
        <w:rPr>
          <w:rFonts w:cs="Times New Roman"/>
          <w:i/>
          <w:szCs w:val="24"/>
        </w:rPr>
        <w:t>crimen</w:t>
      </w:r>
      <w:proofErr w:type="spellEnd"/>
      <w:r w:rsidRPr="00800572">
        <w:rPr>
          <w:rFonts w:cs="Times New Roman"/>
          <w:i/>
          <w:szCs w:val="24"/>
        </w:rPr>
        <w:t xml:space="preserve"> </w:t>
      </w:r>
      <w:r w:rsidRPr="00800572">
        <w:rPr>
          <w:rFonts w:cs="Times New Roman"/>
          <w:szCs w:val="24"/>
        </w:rPr>
        <w:t xml:space="preserve">funkcjonuje w porządkach </w:t>
      </w:r>
      <w:proofErr w:type="gramStart"/>
      <w:r w:rsidRPr="00800572">
        <w:rPr>
          <w:rFonts w:cs="Times New Roman"/>
          <w:szCs w:val="24"/>
        </w:rPr>
        <w:t>krajowych,</w:t>
      </w:r>
      <w:proofErr w:type="gramEnd"/>
      <w:r w:rsidRPr="00800572">
        <w:rPr>
          <w:rFonts w:cs="Times New Roman"/>
          <w:szCs w:val="24"/>
        </w:rPr>
        <w:t xml:space="preserve"> jako swoisty wyraz gwarancji wolności obywatelskich w obliczu rygorów karnych. Z kolei zasada podwójnej karalności zapewnia ten gwarancyjny wymiar na płaszczyźnie międzynarodowej</w:t>
      </w:r>
      <w:r w:rsidRPr="00800572">
        <w:rPr>
          <w:rStyle w:val="Odwoanieprzypisudolnego"/>
          <w:rFonts w:cs="Times New Roman"/>
          <w:szCs w:val="24"/>
        </w:rPr>
        <w:footnoteReference w:id="9"/>
      </w:r>
      <w:r w:rsidRPr="00800572">
        <w:rPr>
          <w:rFonts w:cs="Times New Roman"/>
          <w:szCs w:val="24"/>
        </w:rPr>
        <w:t xml:space="preserve">. </w:t>
      </w:r>
    </w:p>
    <w:p w:rsidR="00CD6361" w:rsidRPr="00800572" w:rsidRDefault="00CD6361" w:rsidP="00847C27">
      <w:pPr>
        <w:pStyle w:val="Akapitzlist"/>
        <w:widowControl w:val="0"/>
        <w:spacing w:after="0" w:line="360" w:lineRule="auto"/>
        <w:ind w:left="0"/>
        <w:rPr>
          <w:rFonts w:cs="Times New Roman"/>
          <w:szCs w:val="24"/>
        </w:rPr>
      </w:pPr>
      <w:r w:rsidRPr="00800572">
        <w:rPr>
          <w:rFonts w:cs="Times New Roman"/>
          <w:szCs w:val="24"/>
        </w:rPr>
        <w:t>W ten sposób zasada ta, jest postrzegana na gruncie Konstytucji RP, która w art. 42 ust. 1 zakreśla „aksjologiczne podstawy funkcjonowania odpowiedzialności karnej” (wyrok TK z 15 października 2008 r., P 32/06, OTK ZU 2008, Nr, nr 8A, poz. 138), co dodatkowo wyeksponowano w art. 1 § 1 k.k. Inne stanowisko w tej kwestii prezentuje angielska doktryna prawa karnego, według której</w:t>
      </w:r>
      <w:r w:rsidRPr="00800572">
        <w:rPr>
          <w:rFonts w:cs="Times New Roman"/>
          <w:i/>
          <w:szCs w:val="24"/>
        </w:rPr>
        <w:t xml:space="preserve"> </w:t>
      </w:r>
      <w:r w:rsidRPr="00800572">
        <w:rPr>
          <w:rFonts w:cs="Times New Roman"/>
          <w:szCs w:val="24"/>
        </w:rPr>
        <w:t>źródłem norm penalizujących może być reguła wypracowana przez orzecznictwo sądowe, tj. precedens</w:t>
      </w:r>
      <w:r w:rsidRPr="00800572">
        <w:rPr>
          <w:rStyle w:val="Odwoanieprzypisudolnego"/>
          <w:rFonts w:cs="Times New Roman"/>
          <w:szCs w:val="24"/>
        </w:rPr>
        <w:footnoteReference w:id="10"/>
      </w:r>
      <w:r w:rsidRPr="00800572">
        <w:rPr>
          <w:rFonts w:cs="Times New Roman"/>
          <w:szCs w:val="24"/>
        </w:rPr>
        <w:t xml:space="preserve">. Co więcej, możliwa jest także odpowiedzialność na podstawie klauzul ogólnych, takich jak konstrukcja spisku przestępnego, czyli </w:t>
      </w:r>
      <w:proofErr w:type="spellStart"/>
      <w:r w:rsidRPr="00800572">
        <w:rPr>
          <w:rFonts w:cs="Times New Roman"/>
          <w:i/>
          <w:szCs w:val="24"/>
        </w:rPr>
        <w:t>conspiracy</w:t>
      </w:r>
      <w:proofErr w:type="spellEnd"/>
      <w:r w:rsidRPr="00800572">
        <w:rPr>
          <w:rStyle w:val="Odwoanieprzypisudolnego"/>
          <w:rFonts w:cs="Times New Roman"/>
          <w:szCs w:val="24"/>
        </w:rPr>
        <w:footnoteReference w:id="11"/>
      </w:r>
      <w:r w:rsidRPr="00800572">
        <w:rPr>
          <w:rFonts w:cs="Times New Roman"/>
          <w:i/>
          <w:szCs w:val="24"/>
        </w:rPr>
        <w:t>.</w:t>
      </w:r>
    </w:p>
    <w:p w:rsidR="00CD6361" w:rsidRDefault="00CD6361" w:rsidP="00847C27">
      <w:pPr>
        <w:pStyle w:val="Akapitzlist"/>
        <w:widowControl w:val="0"/>
        <w:spacing w:after="0" w:line="360" w:lineRule="auto"/>
        <w:ind w:left="0"/>
        <w:rPr>
          <w:rFonts w:cs="Times New Roman"/>
          <w:szCs w:val="24"/>
        </w:rPr>
      </w:pPr>
      <w:r w:rsidRPr="00800572">
        <w:rPr>
          <w:rFonts w:cs="Times New Roman"/>
          <w:szCs w:val="24"/>
        </w:rPr>
        <w:t>Na uwagę zasługuje proces znoszenia tej zasady w decyzji ramowej w spawie ENA. Przy definiowaniu katalogu czynów zabronionych, do których ma się odnosić wyłączenie zabrakło jasności terminologicznej</w:t>
      </w:r>
      <w:r w:rsidRPr="00800572">
        <w:rPr>
          <w:rStyle w:val="Odwoanieprzypisudolnego"/>
          <w:rFonts w:cs="Times New Roman"/>
          <w:szCs w:val="24"/>
        </w:rPr>
        <w:footnoteReference w:id="12"/>
      </w:r>
      <w:r w:rsidRPr="00800572">
        <w:rPr>
          <w:rFonts w:cs="Times New Roman"/>
          <w:szCs w:val="24"/>
        </w:rPr>
        <w:t xml:space="preserve">, mimo iż, w większości są to czyny kryminalizowane we wszystkich państwach, a niektóre nawet podlegają harmonizacji (fałszowanie pieniędzy, </w:t>
      </w:r>
      <w:r w:rsidRPr="00800572">
        <w:rPr>
          <w:rFonts w:cs="Times New Roman"/>
          <w:szCs w:val="24"/>
        </w:rPr>
        <w:lastRenderedPageBreak/>
        <w:t>przestępstwa przeciwko środowisku czy handel narkotykami</w:t>
      </w:r>
      <w:r w:rsidRPr="00800572">
        <w:rPr>
          <w:rStyle w:val="Odwoanieprzypisudolnego"/>
          <w:rFonts w:cs="Times New Roman"/>
          <w:szCs w:val="24"/>
        </w:rPr>
        <w:footnoteReference w:id="13"/>
      </w:r>
      <w:r w:rsidRPr="00800572">
        <w:rPr>
          <w:rFonts w:cs="Times New Roman"/>
          <w:szCs w:val="24"/>
        </w:rPr>
        <w:t xml:space="preserve">). Z jednej strony mamy do czynienia ze wskazaniem konkretnych przestępstw, np. </w:t>
      </w:r>
      <w:proofErr w:type="gramStart"/>
      <w:r w:rsidRPr="00800572">
        <w:rPr>
          <w:rFonts w:cs="Times New Roman"/>
          <w:szCs w:val="24"/>
        </w:rPr>
        <w:t>morderstwo</w:t>
      </w:r>
      <w:r w:rsidR="0091705E">
        <w:rPr>
          <w:rFonts w:cs="Times New Roman"/>
          <w:szCs w:val="24"/>
        </w:rPr>
        <w:t xml:space="preserve"> </w:t>
      </w:r>
      <w:r w:rsidRPr="00800572">
        <w:rPr>
          <w:rFonts w:cs="Times New Roman"/>
          <w:szCs w:val="24"/>
        </w:rPr>
        <w:t>,</w:t>
      </w:r>
      <w:proofErr w:type="gramEnd"/>
      <w:r w:rsidRPr="00800572">
        <w:rPr>
          <w:rFonts w:cs="Times New Roman"/>
          <w:szCs w:val="24"/>
        </w:rPr>
        <w:t xml:space="preserve"> gwałt, handel bronią, fałszowanie dokumentów, z drugiej zaś strony, możemy natrafić na wyliczenie pewnych zjawisk, którym niełatwo przypisać ściśle określone znamiona, np. rasizm, terroryzm, korupcja, cyberprzestępczość</w:t>
      </w:r>
      <w:r w:rsidRPr="00800572">
        <w:rPr>
          <w:rStyle w:val="Odwoanieprzypisudolnego"/>
          <w:rFonts w:cs="Times New Roman"/>
          <w:szCs w:val="24"/>
        </w:rPr>
        <w:footnoteReference w:id="14"/>
      </w:r>
      <w:r w:rsidRPr="00800572">
        <w:rPr>
          <w:rFonts w:cs="Times New Roman"/>
          <w:szCs w:val="24"/>
        </w:rPr>
        <w:t>. Otwiera to drogę do elastycznego wdrażania i stosowania posta</w:t>
      </w:r>
      <w:r w:rsidR="00FF1408">
        <w:rPr>
          <w:rFonts w:cs="Times New Roman"/>
          <w:szCs w:val="24"/>
        </w:rPr>
        <w:t xml:space="preserve">nowień decyzji, może być także </w:t>
      </w:r>
      <w:r w:rsidRPr="00FF1408">
        <w:rPr>
          <w:rFonts w:cs="Times New Roman"/>
          <w:i/>
          <w:szCs w:val="24"/>
        </w:rPr>
        <w:t>furtką</w:t>
      </w:r>
      <w:r w:rsidRPr="00800572">
        <w:rPr>
          <w:rFonts w:cs="Times New Roman"/>
          <w:szCs w:val="24"/>
        </w:rPr>
        <w:t xml:space="preserve"> do naruszeń, zwłaszcza zasady </w:t>
      </w:r>
      <w:proofErr w:type="spellStart"/>
      <w:r w:rsidRPr="00C35027">
        <w:rPr>
          <w:rFonts w:cs="Times New Roman"/>
          <w:szCs w:val="24"/>
        </w:rPr>
        <w:t>nullum</w:t>
      </w:r>
      <w:proofErr w:type="spellEnd"/>
      <w:r w:rsidRPr="00C35027">
        <w:rPr>
          <w:rFonts w:cs="Times New Roman"/>
          <w:szCs w:val="24"/>
        </w:rPr>
        <w:t xml:space="preserve"> </w:t>
      </w:r>
      <w:proofErr w:type="spellStart"/>
      <w:r w:rsidRPr="00C35027">
        <w:rPr>
          <w:rFonts w:cs="Times New Roman"/>
          <w:szCs w:val="24"/>
        </w:rPr>
        <w:t>crimen</w:t>
      </w:r>
      <w:proofErr w:type="spellEnd"/>
      <w:r w:rsidRPr="00800572">
        <w:rPr>
          <w:rStyle w:val="Odwoanieprzypisudolnego"/>
          <w:rFonts w:cs="Times New Roman"/>
          <w:szCs w:val="24"/>
        </w:rPr>
        <w:footnoteReference w:id="15"/>
      </w:r>
      <w:r w:rsidRPr="00800572">
        <w:rPr>
          <w:rFonts w:cs="Times New Roman"/>
          <w:i/>
          <w:szCs w:val="24"/>
        </w:rPr>
        <w:t xml:space="preserve">. </w:t>
      </w:r>
      <w:r w:rsidRPr="00800572">
        <w:rPr>
          <w:rFonts w:cs="Times New Roman"/>
          <w:szCs w:val="24"/>
        </w:rPr>
        <w:t xml:space="preserve">Część nazw czynów zostało zaczerpnięte z języka potocznego, np. w oryginalnym tekście angielskim decyzji ramowej użyto słowa </w:t>
      </w:r>
      <w:proofErr w:type="spellStart"/>
      <w:r w:rsidRPr="00800572">
        <w:rPr>
          <w:rFonts w:cs="Times New Roman"/>
          <w:i/>
          <w:szCs w:val="24"/>
        </w:rPr>
        <w:t>swindling</w:t>
      </w:r>
      <w:proofErr w:type="spellEnd"/>
      <w:r w:rsidRPr="00800572">
        <w:rPr>
          <w:rStyle w:val="Odwoanieprzypisudolnego"/>
          <w:rFonts w:cs="Times New Roman"/>
          <w:szCs w:val="24"/>
        </w:rPr>
        <w:footnoteReference w:id="16"/>
      </w:r>
      <w:r w:rsidRPr="00800572">
        <w:rPr>
          <w:rFonts w:cs="Times New Roman"/>
          <w:i/>
          <w:szCs w:val="24"/>
        </w:rPr>
        <w:t xml:space="preserve">, </w:t>
      </w:r>
      <w:r w:rsidRPr="00800572">
        <w:rPr>
          <w:rFonts w:cs="Times New Roman"/>
          <w:szCs w:val="24"/>
        </w:rPr>
        <w:t xml:space="preserve">zamiast </w:t>
      </w:r>
      <w:proofErr w:type="spellStart"/>
      <w:r w:rsidRPr="00800572">
        <w:rPr>
          <w:rFonts w:cs="Times New Roman"/>
          <w:i/>
          <w:szCs w:val="24"/>
        </w:rPr>
        <w:t>embezzelment</w:t>
      </w:r>
      <w:proofErr w:type="spellEnd"/>
      <w:r w:rsidRPr="00800572">
        <w:rPr>
          <w:rFonts w:cs="Times New Roman"/>
          <w:i/>
          <w:szCs w:val="24"/>
        </w:rPr>
        <w:t xml:space="preserve">, </w:t>
      </w:r>
      <w:r w:rsidRPr="00800572">
        <w:rPr>
          <w:rFonts w:cs="Times New Roman"/>
          <w:szCs w:val="24"/>
        </w:rPr>
        <w:t>które w języku prawnym oznacza sprzeniewierzenie</w:t>
      </w:r>
      <w:r w:rsidRPr="00800572">
        <w:rPr>
          <w:rStyle w:val="Odwoanieprzypisudolnego"/>
          <w:rFonts w:cs="Times New Roman"/>
          <w:szCs w:val="24"/>
        </w:rPr>
        <w:footnoteReference w:id="17"/>
      </w:r>
      <w:r w:rsidRPr="00800572">
        <w:rPr>
          <w:rFonts w:cs="Times New Roman"/>
          <w:szCs w:val="24"/>
        </w:rPr>
        <w:t xml:space="preserve">. Zastosowanie takiej techniki legislacyjnej stwarza duże problemy przy transpozycji postanowień decyzji, czego przykładem jest katalog przestępstw z art. 607w k.p.k. (np. przyporządkowanie do pojęcia </w:t>
      </w:r>
      <w:proofErr w:type="spellStart"/>
      <w:r w:rsidRPr="00800572">
        <w:rPr>
          <w:rFonts w:cs="Times New Roman"/>
          <w:i/>
          <w:szCs w:val="24"/>
        </w:rPr>
        <w:t>racketeering</w:t>
      </w:r>
      <w:proofErr w:type="spellEnd"/>
      <w:r w:rsidRPr="00800572">
        <w:rPr>
          <w:rFonts w:cs="Times New Roman"/>
          <w:i/>
          <w:szCs w:val="24"/>
        </w:rPr>
        <w:t xml:space="preserve"> </w:t>
      </w:r>
      <w:r w:rsidRPr="00800572">
        <w:rPr>
          <w:rFonts w:cs="Times New Roman"/>
          <w:szCs w:val="24"/>
        </w:rPr>
        <w:t xml:space="preserve">przestępstwa wymuszenia rozbójniczego, z kolei pojęcie </w:t>
      </w:r>
      <w:proofErr w:type="spellStart"/>
      <w:r w:rsidRPr="00800572">
        <w:rPr>
          <w:rFonts w:cs="Times New Roman"/>
          <w:i/>
          <w:szCs w:val="24"/>
        </w:rPr>
        <w:t>arson</w:t>
      </w:r>
      <w:proofErr w:type="spellEnd"/>
      <w:r w:rsidRPr="00800572">
        <w:rPr>
          <w:rFonts w:cs="Times New Roman"/>
          <w:i/>
          <w:szCs w:val="24"/>
        </w:rPr>
        <w:t xml:space="preserve">, </w:t>
      </w:r>
      <w:r w:rsidRPr="00800572">
        <w:rPr>
          <w:rFonts w:cs="Times New Roman"/>
          <w:szCs w:val="24"/>
        </w:rPr>
        <w:t>które zostało przetłumaczone dosłownie nie ma w Polsce charakteru prawnego)</w:t>
      </w:r>
      <w:r w:rsidRPr="00800572">
        <w:rPr>
          <w:rStyle w:val="Odwoanieprzypisudolnego"/>
          <w:rFonts w:cs="Times New Roman"/>
          <w:szCs w:val="24"/>
        </w:rPr>
        <w:footnoteReference w:id="18"/>
      </w:r>
      <w:r w:rsidRPr="00800572">
        <w:rPr>
          <w:rFonts w:cs="Times New Roman"/>
          <w:szCs w:val="24"/>
        </w:rPr>
        <w:t xml:space="preserve">. Pojawia się także kwestia różnorodnego traktowania zabiegu </w:t>
      </w:r>
      <w:proofErr w:type="gramStart"/>
      <w:r w:rsidRPr="00800572">
        <w:rPr>
          <w:rFonts w:cs="Times New Roman"/>
          <w:szCs w:val="24"/>
        </w:rPr>
        <w:t>aborcji,</w:t>
      </w:r>
      <w:proofErr w:type="gramEnd"/>
      <w:r w:rsidRPr="00800572">
        <w:rPr>
          <w:rFonts w:cs="Times New Roman"/>
          <w:szCs w:val="24"/>
        </w:rPr>
        <w:t xml:space="preserve"> czy eutanazji, w świetle definicji morderstwa obowiązującej w krajach UE</w:t>
      </w:r>
      <w:r w:rsidRPr="00800572">
        <w:rPr>
          <w:rStyle w:val="Odwoanieprzypisudolnego"/>
          <w:rFonts w:cs="Times New Roman"/>
          <w:szCs w:val="24"/>
        </w:rPr>
        <w:footnoteReference w:id="19"/>
      </w:r>
      <w:r w:rsidRPr="00800572">
        <w:rPr>
          <w:rFonts w:cs="Times New Roman"/>
          <w:szCs w:val="24"/>
        </w:rPr>
        <w:t>.</w:t>
      </w:r>
      <w:r w:rsidRPr="00800572">
        <w:rPr>
          <w:rFonts w:cs="Times New Roman"/>
          <w:szCs w:val="24"/>
        </w:rPr>
        <w:tab/>
      </w:r>
      <w:r w:rsidRPr="00800572">
        <w:rPr>
          <w:rFonts w:cs="Times New Roman"/>
          <w:szCs w:val="24"/>
        </w:rPr>
        <w:tab/>
        <w:t xml:space="preserve">Kolejnym spornym zagadnieniem jest możliwość postrzegania wymogu podwójnej karalności w szerszej perspektywie, uwzględniającej typowe okoliczności wyłączające bezprawność i winę, takie jak, np. obrona konieczna, stan wyższej konieczności, </w:t>
      </w:r>
      <w:r w:rsidRPr="00800572">
        <w:rPr>
          <w:rFonts w:cs="Times New Roman"/>
          <w:szCs w:val="24"/>
        </w:rPr>
        <w:lastRenderedPageBreak/>
        <w:t>błąd</w:t>
      </w:r>
      <w:r w:rsidRPr="00800572">
        <w:rPr>
          <w:rStyle w:val="Odwoanieprzypisudolnego"/>
          <w:rFonts w:cs="Times New Roman"/>
          <w:szCs w:val="24"/>
        </w:rPr>
        <w:footnoteReference w:id="20"/>
      </w:r>
      <w:r w:rsidRPr="00800572">
        <w:rPr>
          <w:rFonts w:cs="Times New Roman"/>
          <w:szCs w:val="24"/>
        </w:rPr>
        <w:t>. I tak w prawie angielskim znajdziemy swoiste rozwiązania dopuszczające ponoszenie odpowiedzialności karnej za czyny innych osób</w:t>
      </w:r>
      <w:r w:rsidRPr="00800572">
        <w:rPr>
          <w:rStyle w:val="Odwoanieprzypisudolnego"/>
          <w:rFonts w:cs="Times New Roman"/>
          <w:szCs w:val="24"/>
        </w:rPr>
        <w:footnoteReference w:id="21"/>
      </w:r>
      <w:r w:rsidRPr="00800572">
        <w:rPr>
          <w:rFonts w:cs="Times New Roman"/>
          <w:szCs w:val="24"/>
        </w:rPr>
        <w:t xml:space="preserve">. Znamiennym przykładem będzie także uznanie za rodzaj </w:t>
      </w:r>
      <w:proofErr w:type="spellStart"/>
      <w:r w:rsidRPr="00800572">
        <w:rPr>
          <w:rFonts w:cs="Times New Roman"/>
          <w:i/>
          <w:szCs w:val="24"/>
        </w:rPr>
        <w:t>defence</w:t>
      </w:r>
      <w:proofErr w:type="spellEnd"/>
      <w:r w:rsidRPr="00800572">
        <w:rPr>
          <w:rFonts w:cs="Times New Roman"/>
          <w:i/>
          <w:szCs w:val="24"/>
        </w:rPr>
        <w:t xml:space="preserve"> </w:t>
      </w:r>
      <w:r w:rsidRPr="00800572">
        <w:rPr>
          <w:rFonts w:cs="Times New Roman"/>
          <w:szCs w:val="24"/>
        </w:rPr>
        <w:t>(</w:t>
      </w:r>
      <w:proofErr w:type="spellStart"/>
      <w:r w:rsidRPr="00800572">
        <w:rPr>
          <w:rFonts w:cs="Times New Roman"/>
          <w:i/>
          <w:szCs w:val="24"/>
        </w:rPr>
        <w:t>ground</w:t>
      </w:r>
      <w:proofErr w:type="spellEnd"/>
      <w:r w:rsidRPr="00800572">
        <w:rPr>
          <w:rFonts w:cs="Times New Roman"/>
          <w:i/>
          <w:szCs w:val="24"/>
        </w:rPr>
        <w:t xml:space="preserve"> </w:t>
      </w:r>
      <w:proofErr w:type="spellStart"/>
      <w:r w:rsidRPr="00800572">
        <w:rPr>
          <w:rFonts w:cs="Times New Roman"/>
          <w:i/>
          <w:szCs w:val="24"/>
        </w:rPr>
        <w:t>excluding</w:t>
      </w:r>
      <w:proofErr w:type="spellEnd"/>
      <w:r w:rsidRPr="00800572">
        <w:rPr>
          <w:rFonts w:cs="Times New Roman"/>
          <w:i/>
          <w:szCs w:val="24"/>
        </w:rPr>
        <w:t xml:space="preserve"> </w:t>
      </w:r>
      <w:proofErr w:type="spellStart"/>
      <w:r w:rsidRPr="00800572">
        <w:rPr>
          <w:rFonts w:cs="Times New Roman"/>
          <w:i/>
          <w:szCs w:val="24"/>
        </w:rPr>
        <w:t>responsibility</w:t>
      </w:r>
      <w:proofErr w:type="spellEnd"/>
      <w:r w:rsidRPr="00800572">
        <w:rPr>
          <w:rFonts w:cs="Times New Roman"/>
          <w:szCs w:val="24"/>
        </w:rPr>
        <w:t>) dokonanie „zabójstwa z litości”</w:t>
      </w:r>
      <w:r w:rsidRPr="00800572">
        <w:rPr>
          <w:rStyle w:val="Odwoanieprzypisudolnego"/>
          <w:rFonts w:cs="Times New Roman"/>
          <w:szCs w:val="24"/>
        </w:rPr>
        <w:footnoteReference w:id="22"/>
      </w:r>
      <w:r w:rsidRPr="00800572">
        <w:rPr>
          <w:rFonts w:cs="Times New Roman"/>
          <w:szCs w:val="24"/>
        </w:rPr>
        <w:t xml:space="preserve">. Decyzja nie precyzuje czy uchylenie zasady podwójnej karalności odnosi się wyłącznie do sprawstwa, czy też należy odnosić je także do pozostałych form stadialnych lub zjawiskowych przestępstwa. </w:t>
      </w:r>
    </w:p>
    <w:p w:rsidR="00CD6361" w:rsidRPr="00CA6B5D" w:rsidRDefault="00CD6361" w:rsidP="00847C27">
      <w:pPr>
        <w:pStyle w:val="Akapitzlist"/>
        <w:widowControl w:val="0"/>
        <w:spacing w:after="0" w:line="360" w:lineRule="auto"/>
        <w:ind w:left="0"/>
        <w:rPr>
          <w:rFonts w:cs="Times New Roman"/>
          <w:b/>
          <w:szCs w:val="24"/>
        </w:rPr>
      </w:pPr>
    </w:p>
    <w:p w:rsidR="005049D5" w:rsidRDefault="005049D5" w:rsidP="00847C27"/>
    <w:sectPr w:rsidR="0050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F7E" w:rsidRDefault="00BF4F7E" w:rsidP="00CD6361">
      <w:pPr>
        <w:spacing w:after="0" w:line="240" w:lineRule="auto"/>
      </w:pPr>
      <w:r>
        <w:separator/>
      </w:r>
    </w:p>
  </w:endnote>
  <w:endnote w:type="continuationSeparator" w:id="0">
    <w:p w:rsidR="00BF4F7E" w:rsidRDefault="00BF4F7E" w:rsidP="00CD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F7E" w:rsidRDefault="00BF4F7E" w:rsidP="00CD6361">
      <w:pPr>
        <w:spacing w:after="0" w:line="240" w:lineRule="auto"/>
      </w:pPr>
      <w:r>
        <w:separator/>
      </w:r>
    </w:p>
  </w:footnote>
  <w:footnote w:type="continuationSeparator" w:id="0">
    <w:p w:rsidR="00BF4F7E" w:rsidRDefault="00BF4F7E" w:rsidP="00CD6361">
      <w:pPr>
        <w:spacing w:after="0" w:line="240" w:lineRule="auto"/>
      </w:pPr>
      <w:r>
        <w:continuationSeparator/>
      </w:r>
    </w:p>
  </w:footnote>
  <w:footnote w:id="1">
    <w:p w:rsidR="00CD6361" w:rsidRPr="00847C27" w:rsidRDefault="00CD6361" w:rsidP="00C35027">
      <w:pPr>
        <w:pStyle w:val="Tekstprzypisudolnego"/>
        <w:rPr>
          <w:rFonts w:ascii="Tahoma" w:hAnsi="Tahoma" w:cs="Tahoma"/>
          <w:sz w:val="18"/>
          <w:lang w:val="en-US"/>
        </w:rPr>
      </w:pPr>
      <w:r w:rsidRPr="00847C27">
        <w:rPr>
          <w:rStyle w:val="Odwoanieprzypisudolnego"/>
          <w:rFonts w:ascii="Tahoma" w:hAnsi="Tahoma" w:cs="Tahoma"/>
          <w:sz w:val="18"/>
        </w:rPr>
        <w:footnoteRef/>
      </w:r>
      <w:r w:rsidRPr="00847C27">
        <w:rPr>
          <w:rFonts w:ascii="Tahoma" w:hAnsi="Tahoma" w:cs="Tahoma"/>
          <w:sz w:val="18"/>
          <w:lang w:val="en-US"/>
        </w:rPr>
        <w:t xml:space="preserve"> N. </w:t>
      </w:r>
      <w:proofErr w:type="spellStart"/>
      <w:r w:rsidRPr="00847C27">
        <w:rPr>
          <w:rFonts w:ascii="Tahoma" w:hAnsi="Tahoma" w:cs="Tahoma"/>
          <w:sz w:val="18"/>
          <w:lang w:val="en-US"/>
        </w:rPr>
        <w:t>Keijzer</w:t>
      </w:r>
      <w:proofErr w:type="spellEnd"/>
      <w:r w:rsidRPr="00847C27">
        <w:rPr>
          <w:rFonts w:ascii="Tahoma" w:hAnsi="Tahoma" w:cs="Tahoma"/>
          <w:sz w:val="18"/>
          <w:lang w:val="en-US"/>
        </w:rPr>
        <w:t xml:space="preserve">, </w:t>
      </w:r>
      <w:r w:rsidRPr="00847C27">
        <w:rPr>
          <w:rFonts w:ascii="Tahoma" w:hAnsi="Tahoma" w:cs="Tahoma"/>
          <w:i/>
          <w:sz w:val="18"/>
          <w:lang w:val="en-US"/>
        </w:rPr>
        <w:t>The European Arrest Framework Decision between past and future</w:t>
      </w:r>
      <w:r w:rsidRPr="00847C27">
        <w:rPr>
          <w:rFonts w:ascii="Tahoma" w:hAnsi="Tahoma" w:cs="Tahoma"/>
          <w:sz w:val="18"/>
          <w:lang w:val="en-US"/>
        </w:rPr>
        <w:t xml:space="preserve"> [w:] </w:t>
      </w:r>
      <w:r w:rsidRPr="00847C27">
        <w:rPr>
          <w:rFonts w:ascii="Tahoma" w:hAnsi="Tahoma" w:cs="Tahoma"/>
          <w:i/>
          <w:sz w:val="18"/>
          <w:lang w:val="en-US"/>
        </w:rPr>
        <w:t>Constitutional challenges to the European Arrest Warrant</w:t>
      </w:r>
      <w:r w:rsidRPr="00847C27">
        <w:rPr>
          <w:rFonts w:ascii="Tahoma" w:hAnsi="Tahoma" w:cs="Tahoma"/>
          <w:sz w:val="18"/>
          <w:lang w:val="en-US"/>
        </w:rPr>
        <w:t>, E. Guild, Nijmegen 2006</w:t>
      </w:r>
      <w:r w:rsidR="00335D42" w:rsidRPr="00847C27">
        <w:rPr>
          <w:rFonts w:ascii="Tahoma" w:hAnsi="Tahoma" w:cs="Tahoma"/>
          <w:sz w:val="18"/>
          <w:lang w:val="en-US"/>
        </w:rPr>
        <w:t xml:space="preserve"> r.</w:t>
      </w:r>
      <w:r w:rsidRPr="00847C27">
        <w:rPr>
          <w:rFonts w:ascii="Tahoma" w:hAnsi="Tahoma" w:cs="Tahoma"/>
          <w:sz w:val="18"/>
          <w:lang w:val="en-US"/>
        </w:rPr>
        <w:t xml:space="preserve">, s. 69 </w:t>
      </w:r>
      <w:proofErr w:type="spellStart"/>
      <w:r w:rsidRPr="00847C27">
        <w:rPr>
          <w:rFonts w:ascii="Tahoma" w:hAnsi="Tahoma" w:cs="Tahoma"/>
          <w:sz w:val="18"/>
          <w:lang w:val="en-US"/>
        </w:rPr>
        <w:t>i</w:t>
      </w:r>
      <w:proofErr w:type="spellEnd"/>
      <w:r w:rsidRPr="00847C27">
        <w:rPr>
          <w:rFonts w:ascii="Tahoma" w:hAnsi="Tahoma" w:cs="Tahoma"/>
          <w:sz w:val="18"/>
          <w:lang w:val="en-US"/>
        </w:rPr>
        <w:t xml:space="preserve"> n.</w:t>
      </w:r>
    </w:p>
  </w:footnote>
  <w:footnote w:id="2">
    <w:p w:rsidR="00CD6361" w:rsidRPr="00847C27" w:rsidRDefault="00CD6361" w:rsidP="00C35027">
      <w:pPr>
        <w:pStyle w:val="Tekstprzypisudolnego"/>
        <w:rPr>
          <w:rFonts w:ascii="Tahoma" w:hAnsi="Tahoma" w:cs="Tahoma"/>
          <w:sz w:val="18"/>
          <w:lang w:val="en-US"/>
        </w:rPr>
      </w:pPr>
      <w:r w:rsidRPr="00847C27">
        <w:rPr>
          <w:rStyle w:val="Odwoanieprzypisudolnego"/>
          <w:rFonts w:ascii="Tahoma" w:hAnsi="Tahoma" w:cs="Tahoma"/>
          <w:sz w:val="18"/>
        </w:rPr>
        <w:footnoteRef/>
      </w:r>
      <w:r w:rsidRPr="00847C27">
        <w:rPr>
          <w:rFonts w:ascii="Tahoma" w:hAnsi="Tahoma" w:cs="Tahoma"/>
          <w:sz w:val="18"/>
          <w:lang w:val="en-US"/>
        </w:rPr>
        <w:t xml:space="preserve"> M. </w:t>
      </w:r>
      <w:proofErr w:type="spellStart"/>
      <w:r w:rsidRPr="00847C27">
        <w:rPr>
          <w:rFonts w:ascii="Tahoma" w:hAnsi="Tahoma" w:cs="Tahoma"/>
          <w:sz w:val="18"/>
          <w:lang w:val="en-US"/>
        </w:rPr>
        <w:t>Płachta</w:t>
      </w:r>
      <w:proofErr w:type="spellEnd"/>
      <w:r w:rsidRPr="00847C27">
        <w:rPr>
          <w:rFonts w:ascii="Tahoma" w:hAnsi="Tahoma" w:cs="Tahoma"/>
          <w:sz w:val="18"/>
          <w:lang w:val="en-US"/>
        </w:rPr>
        <w:t xml:space="preserve">, </w:t>
      </w:r>
      <w:r w:rsidRPr="00847C27">
        <w:rPr>
          <w:rFonts w:ascii="Tahoma" w:hAnsi="Tahoma" w:cs="Tahoma"/>
          <w:i/>
          <w:sz w:val="18"/>
          <w:lang w:val="en-US"/>
        </w:rPr>
        <w:t xml:space="preserve">(Non-)extradition of nationals: A </w:t>
      </w:r>
      <w:proofErr w:type="spellStart"/>
      <w:r w:rsidRPr="00847C27">
        <w:rPr>
          <w:rFonts w:ascii="Tahoma" w:hAnsi="Tahoma" w:cs="Tahoma"/>
          <w:i/>
          <w:sz w:val="18"/>
          <w:lang w:val="en-US"/>
        </w:rPr>
        <w:t>neverending</w:t>
      </w:r>
      <w:proofErr w:type="spellEnd"/>
      <w:r w:rsidRPr="00847C27">
        <w:rPr>
          <w:rFonts w:ascii="Tahoma" w:hAnsi="Tahoma" w:cs="Tahoma"/>
          <w:i/>
          <w:sz w:val="18"/>
          <w:lang w:val="en-US"/>
        </w:rPr>
        <w:t xml:space="preserve"> </w:t>
      </w:r>
      <w:proofErr w:type="gramStart"/>
      <w:r w:rsidRPr="00847C27">
        <w:rPr>
          <w:rFonts w:ascii="Tahoma" w:hAnsi="Tahoma" w:cs="Tahoma"/>
          <w:i/>
          <w:sz w:val="18"/>
          <w:lang w:val="en-US"/>
        </w:rPr>
        <w:t>story?</w:t>
      </w:r>
      <w:r w:rsidRPr="00847C27">
        <w:rPr>
          <w:rFonts w:ascii="Tahoma" w:hAnsi="Tahoma" w:cs="Tahoma"/>
          <w:sz w:val="18"/>
          <w:lang w:val="en-US"/>
        </w:rPr>
        <w:t>,</w:t>
      </w:r>
      <w:proofErr w:type="gramEnd"/>
      <w:r w:rsidRPr="00847C27">
        <w:rPr>
          <w:rFonts w:ascii="Tahoma" w:hAnsi="Tahoma" w:cs="Tahoma"/>
          <w:i/>
          <w:sz w:val="18"/>
          <w:lang w:val="en-US"/>
        </w:rPr>
        <w:t xml:space="preserve"> </w:t>
      </w:r>
      <w:r w:rsidRPr="00FE1285">
        <w:rPr>
          <w:rFonts w:ascii="Tahoma" w:hAnsi="Tahoma" w:cs="Tahoma"/>
          <w:sz w:val="18"/>
          <w:lang w:val="en-GB"/>
        </w:rPr>
        <w:t>„</w:t>
      </w:r>
      <w:r w:rsidRPr="00847C27">
        <w:rPr>
          <w:rFonts w:ascii="Tahoma" w:hAnsi="Tahoma" w:cs="Tahoma"/>
          <w:sz w:val="18"/>
          <w:lang w:val="en-US"/>
        </w:rPr>
        <w:t>Emory International Law Review” 1999, t. 77, s</w:t>
      </w:r>
      <w:r w:rsidR="00335D42" w:rsidRPr="00847C27">
        <w:rPr>
          <w:rFonts w:ascii="Tahoma" w:hAnsi="Tahoma" w:cs="Tahoma"/>
          <w:sz w:val="18"/>
          <w:lang w:val="en-US"/>
        </w:rPr>
        <w:t>tr</w:t>
      </w:r>
      <w:r w:rsidRPr="00847C27">
        <w:rPr>
          <w:rFonts w:ascii="Tahoma" w:hAnsi="Tahoma" w:cs="Tahoma"/>
          <w:sz w:val="18"/>
          <w:lang w:val="en-US"/>
        </w:rPr>
        <w:t>. 87.</w:t>
      </w:r>
    </w:p>
  </w:footnote>
  <w:footnote w:id="3">
    <w:p w:rsidR="00CD6361" w:rsidRPr="00847C27" w:rsidRDefault="00CD6361" w:rsidP="00C35027">
      <w:pPr>
        <w:pStyle w:val="Tekstprzypisudolnego"/>
        <w:rPr>
          <w:rFonts w:ascii="Tahoma" w:hAnsi="Tahoma" w:cs="Tahoma"/>
          <w:sz w:val="18"/>
        </w:rPr>
      </w:pPr>
      <w:r w:rsidRPr="00847C27">
        <w:rPr>
          <w:rStyle w:val="Odwoanieprzypisudolnego"/>
          <w:rFonts w:ascii="Tahoma" w:hAnsi="Tahoma" w:cs="Tahoma"/>
          <w:sz w:val="18"/>
        </w:rPr>
        <w:footnoteRef/>
      </w:r>
      <w:r w:rsidRPr="00847C27">
        <w:rPr>
          <w:rFonts w:ascii="Tahoma" w:hAnsi="Tahoma" w:cs="Tahoma"/>
          <w:sz w:val="18"/>
        </w:rPr>
        <w:t xml:space="preserve"> </w:t>
      </w:r>
      <w:r w:rsidR="00335D42" w:rsidRPr="00847C27">
        <w:rPr>
          <w:rFonts w:ascii="Tahoma" w:hAnsi="Tahoma" w:cs="Tahoma"/>
          <w:sz w:val="18"/>
        </w:rPr>
        <w:t>Ibidem</w:t>
      </w:r>
      <w:r w:rsidRPr="00847C27">
        <w:rPr>
          <w:rFonts w:ascii="Tahoma" w:hAnsi="Tahoma" w:cs="Tahoma"/>
          <w:sz w:val="18"/>
        </w:rPr>
        <w:t>, s. 88.</w:t>
      </w:r>
    </w:p>
  </w:footnote>
  <w:footnote w:id="4">
    <w:p w:rsidR="00CD6361" w:rsidRPr="00847C27" w:rsidRDefault="00CD6361" w:rsidP="00C35027">
      <w:pPr>
        <w:pStyle w:val="Tekstprzypisudolnego"/>
        <w:rPr>
          <w:rFonts w:ascii="Tahoma" w:hAnsi="Tahoma" w:cs="Tahoma"/>
          <w:sz w:val="18"/>
        </w:rPr>
      </w:pPr>
      <w:r w:rsidRPr="00847C27">
        <w:rPr>
          <w:rStyle w:val="Odwoanieprzypisudolnego"/>
          <w:rFonts w:ascii="Tahoma" w:hAnsi="Tahoma" w:cs="Tahoma"/>
          <w:sz w:val="18"/>
        </w:rPr>
        <w:footnoteRef/>
      </w:r>
      <w:r w:rsidRPr="00847C27">
        <w:rPr>
          <w:rFonts w:ascii="Tahoma" w:hAnsi="Tahoma" w:cs="Tahoma"/>
          <w:sz w:val="18"/>
        </w:rPr>
        <w:t xml:space="preserve"> Zob. A. Górski, </w:t>
      </w:r>
      <w:r w:rsidRPr="00847C27">
        <w:rPr>
          <w:rFonts w:ascii="Tahoma" w:hAnsi="Tahoma" w:cs="Tahoma"/>
          <w:i/>
          <w:sz w:val="18"/>
        </w:rPr>
        <w:t>Europejskie ściganie karne. Zagadnienia ustrojowe</w:t>
      </w:r>
      <w:r w:rsidRPr="00847C27">
        <w:rPr>
          <w:rFonts w:ascii="Tahoma" w:hAnsi="Tahoma" w:cs="Tahoma"/>
          <w:sz w:val="18"/>
        </w:rPr>
        <w:t>,</w:t>
      </w:r>
      <w:r w:rsidRPr="00847C27">
        <w:rPr>
          <w:rFonts w:ascii="Tahoma" w:hAnsi="Tahoma" w:cs="Tahoma"/>
          <w:i/>
          <w:sz w:val="18"/>
        </w:rPr>
        <w:t xml:space="preserve"> </w:t>
      </w:r>
      <w:r w:rsidRPr="00847C27">
        <w:rPr>
          <w:rFonts w:ascii="Tahoma" w:hAnsi="Tahoma" w:cs="Tahoma"/>
          <w:sz w:val="18"/>
        </w:rPr>
        <w:t>W</w:t>
      </w:r>
      <w:r w:rsidR="006D1790" w:rsidRPr="00847C27">
        <w:rPr>
          <w:rFonts w:ascii="Tahoma" w:hAnsi="Tahoma" w:cs="Tahoma"/>
          <w:sz w:val="18"/>
        </w:rPr>
        <w:t>olters Kluwer</w:t>
      </w:r>
      <w:r w:rsidRPr="00847C27">
        <w:rPr>
          <w:rFonts w:ascii="Tahoma" w:hAnsi="Tahoma" w:cs="Tahoma"/>
          <w:sz w:val="18"/>
        </w:rPr>
        <w:t xml:space="preserve"> 2010, s. 156–180.</w:t>
      </w:r>
    </w:p>
  </w:footnote>
  <w:footnote w:id="5">
    <w:p w:rsidR="00CD6361" w:rsidRPr="00847C27" w:rsidRDefault="00CD6361" w:rsidP="00C35027">
      <w:pPr>
        <w:pStyle w:val="Tekstprzypisudolnego"/>
        <w:rPr>
          <w:rFonts w:ascii="Tahoma" w:hAnsi="Tahoma" w:cs="Tahoma"/>
          <w:sz w:val="18"/>
        </w:rPr>
      </w:pPr>
      <w:r w:rsidRPr="00847C27">
        <w:rPr>
          <w:rStyle w:val="Odwoanieprzypisudolnego"/>
          <w:rFonts w:ascii="Tahoma" w:hAnsi="Tahoma" w:cs="Tahoma"/>
          <w:sz w:val="18"/>
        </w:rPr>
        <w:footnoteRef/>
      </w:r>
      <w:r w:rsidRPr="00847C27">
        <w:rPr>
          <w:rFonts w:ascii="Tahoma" w:hAnsi="Tahoma" w:cs="Tahoma"/>
          <w:sz w:val="18"/>
        </w:rPr>
        <w:t xml:space="preserve"> W. Góralczyk, S. Sawicki, </w:t>
      </w:r>
      <w:r w:rsidRPr="00847C27">
        <w:rPr>
          <w:rFonts w:ascii="Tahoma" w:hAnsi="Tahoma" w:cs="Tahoma"/>
          <w:i/>
          <w:sz w:val="18"/>
        </w:rPr>
        <w:t>Prawo międzynarodowe publiczne w zarysie</w:t>
      </w:r>
      <w:r w:rsidRPr="00847C27">
        <w:rPr>
          <w:rFonts w:ascii="Tahoma" w:hAnsi="Tahoma" w:cs="Tahoma"/>
          <w:sz w:val="18"/>
        </w:rPr>
        <w:t>,</w:t>
      </w:r>
      <w:r w:rsidRPr="00847C27">
        <w:rPr>
          <w:rFonts w:ascii="Tahoma" w:hAnsi="Tahoma" w:cs="Tahoma"/>
          <w:i/>
          <w:sz w:val="18"/>
        </w:rPr>
        <w:t xml:space="preserve"> </w:t>
      </w:r>
      <w:r w:rsidRPr="00847C27">
        <w:rPr>
          <w:rFonts w:ascii="Tahoma" w:hAnsi="Tahoma" w:cs="Tahoma"/>
          <w:sz w:val="18"/>
        </w:rPr>
        <w:t>Warszawa 2011, s. 243.</w:t>
      </w:r>
    </w:p>
  </w:footnote>
  <w:footnote w:id="6">
    <w:p w:rsidR="00CD6361" w:rsidRPr="00847C27" w:rsidRDefault="00CD6361" w:rsidP="00C35027">
      <w:pPr>
        <w:pStyle w:val="Tekstprzypisudolnego"/>
        <w:rPr>
          <w:rFonts w:ascii="Tahoma" w:hAnsi="Tahoma" w:cs="Tahoma"/>
          <w:sz w:val="18"/>
        </w:rPr>
      </w:pPr>
      <w:r w:rsidRPr="00847C27">
        <w:rPr>
          <w:rStyle w:val="Odwoanieprzypisudolnego"/>
          <w:rFonts w:ascii="Tahoma" w:hAnsi="Tahoma" w:cs="Tahoma"/>
          <w:sz w:val="18"/>
        </w:rPr>
        <w:footnoteRef/>
      </w:r>
      <w:r w:rsidRPr="00847C27">
        <w:rPr>
          <w:rFonts w:ascii="Tahoma" w:hAnsi="Tahoma" w:cs="Tahoma"/>
          <w:sz w:val="18"/>
        </w:rPr>
        <w:t xml:space="preserve"> Tzw. zasada narodowości podmiotowej, znajduje odzwierciedlenie w art. 109 k.k.</w:t>
      </w:r>
    </w:p>
  </w:footnote>
  <w:footnote w:id="7">
    <w:p w:rsidR="00CD6361" w:rsidRPr="00847C27" w:rsidRDefault="00CD6361" w:rsidP="00C35027">
      <w:pPr>
        <w:pStyle w:val="Tekstprzypisudolnego"/>
        <w:rPr>
          <w:rFonts w:ascii="Tahoma" w:hAnsi="Tahoma" w:cs="Tahoma"/>
          <w:sz w:val="18"/>
        </w:rPr>
      </w:pPr>
      <w:r w:rsidRPr="00847C27">
        <w:rPr>
          <w:rStyle w:val="Odwoanieprzypisudolnego"/>
          <w:rFonts w:ascii="Tahoma" w:hAnsi="Tahoma" w:cs="Tahoma"/>
          <w:sz w:val="18"/>
        </w:rPr>
        <w:footnoteRef/>
      </w:r>
      <w:r w:rsidRPr="00847C27">
        <w:rPr>
          <w:rFonts w:ascii="Tahoma" w:hAnsi="Tahoma" w:cs="Tahoma"/>
          <w:sz w:val="18"/>
        </w:rPr>
        <w:t xml:space="preserve"> Por. art. 4 decyzji ramowej w sprawie ENA.</w:t>
      </w:r>
    </w:p>
  </w:footnote>
  <w:footnote w:id="8">
    <w:p w:rsidR="00CD6361" w:rsidRPr="00847C27" w:rsidRDefault="00CD6361" w:rsidP="00C35027">
      <w:pPr>
        <w:pStyle w:val="Tekstprzypisudolnego"/>
        <w:rPr>
          <w:rFonts w:ascii="Tahoma" w:hAnsi="Tahoma" w:cs="Tahoma"/>
          <w:sz w:val="18"/>
        </w:rPr>
      </w:pPr>
      <w:r w:rsidRPr="00847C27">
        <w:rPr>
          <w:rStyle w:val="Odwoanieprzypisudolnego"/>
          <w:rFonts w:ascii="Tahoma" w:hAnsi="Tahoma" w:cs="Tahoma"/>
          <w:sz w:val="18"/>
        </w:rPr>
        <w:footnoteRef/>
      </w:r>
      <w:r w:rsidRPr="00847C27">
        <w:rPr>
          <w:rFonts w:ascii="Tahoma" w:hAnsi="Tahoma" w:cs="Tahoma"/>
          <w:sz w:val="18"/>
        </w:rPr>
        <w:t xml:space="preserve"> Zasada „Nie ma przestępstwa bez ustawy”, ukształtowała się już w okresie Oświecenia. Po raz pierwszy oficjalnie zapisana w art. 8 Deklaracji Praw Człowieka i Obywatela z 1789 r., zob. L. Gardocki, </w:t>
      </w:r>
      <w:r w:rsidRPr="00847C27">
        <w:rPr>
          <w:rFonts w:ascii="Tahoma" w:hAnsi="Tahoma" w:cs="Tahoma"/>
          <w:i/>
          <w:sz w:val="18"/>
        </w:rPr>
        <w:t>Prawo karne</w:t>
      </w:r>
      <w:r w:rsidRPr="00847C27">
        <w:rPr>
          <w:rFonts w:ascii="Tahoma" w:hAnsi="Tahoma" w:cs="Tahoma"/>
          <w:sz w:val="18"/>
        </w:rPr>
        <w:t>,</w:t>
      </w:r>
      <w:r w:rsidRPr="00847C27">
        <w:rPr>
          <w:rFonts w:ascii="Tahoma" w:hAnsi="Tahoma" w:cs="Tahoma"/>
          <w:i/>
          <w:sz w:val="18"/>
        </w:rPr>
        <w:t xml:space="preserve"> </w:t>
      </w:r>
      <w:r w:rsidR="00FF1408" w:rsidRPr="00847C27">
        <w:rPr>
          <w:rFonts w:ascii="Tahoma" w:hAnsi="Tahoma" w:cs="Tahoma"/>
          <w:sz w:val="18"/>
        </w:rPr>
        <w:t>Warszawa 2011, s. 13-</w:t>
      </w:r>
      <w:r w:rsidRPr="00847C27">
        <w:rPr>
          <w:rFonts w:ascii="Tahoma" w:hAnsi="Tahoma" w:cs="Tahoma"/>
          <w:sz w:val="18"/>
        </w:rPr>
        <w:t>19.</w:t>
      </w:r>
    </w:p>
  </w:footnote>
  <w:footnote w:id="9">
    <w:p w:rsidR="00CD6361" w:rsidRPr="00847C27" w:rsidRDefault="00CD6361" w:rsidP="00C35027">
      <w:pPr>
        <w:pStyle w:val="Tekstprzypisudolnego"/>
        <w:rPr>
          <w:rFonts w:ascii="Tahoma" w:hAnsi="Tahoma" w:cs="Tahoma"/>
          <w:sz w:val="18"/>
        </w:rPr>
      </w:pPr>
      <w:r w:rsidRPr="00847C27">
        <w:rPr>
          <w:rStyle w:val="Odwoanieprzypisudolnego"/>
          <w:rFonts w:ascii="Tahoma" w:hAnsi="Tahoma" w:cs="Tahoma"/>
          <w:sz w:val="18"/>
        </w:rPr>
        <w:footnoteRef/>
      </w:r>
      <w:r w:rsidRPr="00847C27">
        <w:rPr>
          <w:rFonts w:ascii="Tahoma" w:hAnsi="Tahoma" w:cs="Tahoma"/>
          <w:sz w:val="18"/>
        </w:rPr>
        <w:t xml:space="preserve"> A. Górski, A. Sakowicz, </w:t>
      </w:r>
      <w:r w:rsidRPr="00847C27">
        <w:rPr>
          <w:rFonts w:ascii="Tahoma" w:hAnsi="Tahoma" w:cs="Tahoma"/>
          <w:i/>
          <w:sz w:val="18"/>
        </w:rPr>
        <w:t xml:space="preserve">Europejski nakaz aresztowania. Między skutecznością ścigania a gwarancyjną funkcją praw człowieka, </w:t>
      </w:r>
      <w:r w:rsidRPr="00847C27">
        <w:rPr>
          <w:rFonts w:ascii="Tahoma" w:hAnsi="Tahoma" w:cs="Tahoma"/>
          <w:sz w:val="18"/>
        </w:rPr>
        <w:t>„Przegląd Policyjny” 2002, nr 3/4, s. 62.</w:t>
      </w:r>
    </w:p>
  </w:footnote>
  <w:footnote w:id="10">
    <w:p w:rsidR="00CD6361" w:rsidRPr="00847C27" w:rsidRDefault="00CD6361" w:rsidP="00C35027">
      <w:pPr>
        <w:pStyle w:val="Tekstprzypisudolnego"/>
        <w:rPr>
          <w:rFonts w:ascii="Tahoma" w:hAnsi="Tahoma" w:cs="Tahoma"/>
          <w:sz w:val="18"/>
        </w:rPr>
      </w:pPr>
      <w:r w:rsidRPr="00847C27">
        <w:rPr>
          <w:rStyle w:val="Odwoanieprzypisudolnego"/>
          <w:rFonts w:ascii="Tahoma" w:hAnsi="Tahoma" w:cs="Tahoma"/>
          <w:sz w:val="18"/>
        </w:rPr>
        <w:footnoteRef/>
      </w:r>
      <w:r w:rsidRPr="00847C27">
        <w:rPr>
          <w:rFonts w:ascii="Tahoma" w:hAnsi="Tahoma" w:cs="Tahoma"/>
          <w:sz w:val="18"/>
        </w:rPr>
        <w:t xml:space="preserve"> Więcej na ten temat zob. A. Adamski, J. Bojarski, P. </w:t>
      </w:r>
      <w:proofErr w:type="spellStart"/>
      <w:r w:rsidRPr="00847C27">
        <w:rPr>
          <w:rFonts w:ascii="Tahoma" w:hAnsi="Tahoma" w:cs="Tahoma"/>
          <w:sz w:val="18"/>
        </w:rPr>
        <w:t>Chrzczonowicz</w:t>
      </w:r>
      <w:proofErr w:type="spellEnd"/>
      <w:r w:rsidRPr="00847C27">
        <w:rPr>
          <w:rFonts w:ascii="Tahoma" w:hAnsi="Tahoma" w:cs="Tahoma"/>
          <w:sz w:val="18"/>
        </w:rPr>
        <w:t xml:space="preserve">, M. Filar, P. </w:t>
      </w:r>
      <w:proofErr w:type="spellStart"/>
      <w:r w:rsidRPr="00847C27">
        <w:rPr>
          <w:rFonts w:ascii="Tahoma" w:hAnsi="Tahoma" w:cs="Tahoma"/>
          <w:sz w:val="18"/>
        </w:rPr>
        <w:t>Girdwoyń</w:t>
      </w:r>
      <w:proofErr w:type="spellEnd"/>
      <w:r w:rsidRPr="00847C27">
        <w:rPr>
          <w:rFonts w:ascii="Tahoma" w:hAnsi="Tahoma" w:cs="Tahoma"/>
          <w:sz w:val="18"/>
        </w:rPr>
        <w:t xml:space="preserve">, </w:t>
      </w:r>
      <w:r w:rsidRPr="00847C27">
        <w:rPr>
          <w:rFonts w:ascii="Tahoma" w:hAnsi="Tahoma" w:cs="Tahoma"/>
          <w:i/>
          <w:sz w:val="18"/>
        </w:rPr>
        <w:t>Prawo karne i wymiar sprawiedliwości państw Unii Europejskiej. Wybrane zagadnienia</w:t>
      </w:r>
      <w:r w:rsidRPr="00847C27">
        <w:rPr>
          <w:rFonts w:ascii="Tahoma" w:hAnsi="Tahoma" w:cs="Tahoma"/>
          <w:sz w:val="18"/>
        </w:rPr>
        <w:t>,</w:t>
      </w:r>
      <w:r w:rsidRPr="00847C27">
        <w:rPr>
          <w:rFonts w:ascii="Tahoma" w:hAnsi="Tahoma" w:cs="Tahoma"/>
          <w:i/>
          <w:sz w:val="18"/>
        </w:rPr>
        <w:t xml:space="preserve"> </w:t>
      </w:r>
      <w:r w:rsidRPr="00847C27">
        <w:rPr>
          <w:rFonts w:ascii="Tahoma" w:hAnsi="Tahoma" w:cs="Tahoma"/>
          <w:sz w:val="18"/>
        </w:rPr>
        <w:t>Toruń 2007, s. 312–314.</w:t>
      </w:r>
    </w:p>
  </w:footnote>
  <w:footnote w:id="11">
    <w:p w:rsidR="00CD6361" w:rsidRPr="00847C27" w:rsidRDefault="00CD6361" w:rsidP="00C35027">
      <w:pPr>
        <w:pStyle w:val="Tekstprzypisudolnego"/>
        <w:rPr>
          <w:rFonts w:ascii="Tahoma" w:hAnsi="Tahoma" w:cs="Tahoma"/>
          <w:sz w:val="18"/>
        </w:rPr>
      </w:pPr>
      <w:r w:rsidRPr="00847C27">
        <w:rPr>
          <w:rStyle w:val="Odwoanieprzypisudolnego"/>
          <w:rFonts w:ascii="Tahoma" w:hAnsi="Tahoma" w:cs="Tahoma"/>
          <w:sz w:val="18"/>
        </w:rPr>
        <w:footnoteRef/>
      </w:r>
      <w:r w:rsidRPr="00847C27">
        <w:rPr>
          <w:rFonts w:ascii="Tahoma" w:hAnsi="Tahoma" w:cs="Tahoma"/>
          <w:sz w:val="18"/>
        </w:rPr>
        <w:t xml:space="preserve"> Stanowi on zupełnie odrębną instytucję prawną, która zakłada samoistną karalność porozumienia przestępnego i nie znajduje odpowiednika w państwach kontynentalnych, nie można jej utożsamiać ze współsprawstwem. Zob. S. Frankowski, </w:t>
      </w:r>
      <w:r w:rsidRPr="00847C27">
        <w:rPr>
          <w:rFonts w:ascii="Tahoma" w:hAnsi="Tahoma" w:cs="Tahoma"/>
          <w:i/>
          <w:sz w:val="18"/>
        </w:rPr>
        <w:t>Prawo karne niektórych państw Europy Zachodniej – wybrane zagadnienia</w:t>
      </w:r>
      <w:r w:rsidRPr="00847C27">
        <w:rPr>
          <w:rFonts w:ascii="Tahoma" w:hAnsi="Tahoma" w:cs="Tahoma"/>
          <w:sz w:val="18"/>
        </w:rPr>
        <w:t>,</w:t>
      </w:r>
      <w:r w:rsidRPr="00847C27">
        <w:rPr>
          <w:rFonts w:ascii="Tahoma" w:hAnsi="Tahoma" w:cs="Tahoma"/>
          <w:i/>
          <w:sz w:val="18"/>
        </w:rPr>
        <w:t xml:space="preserve"> </w:t>
      </w:r>
      <w:r w:rsidRPr="00847C27">
        <w:rPr>
          <w:rFonts w:ascii="Tahoma" w:hAnsi="Tahoma" w:cs="Tahoma"/>
          <w:sz w:val="18"/>
        </w:rPr>
        <w:t>Warszawa 1982, s. 287–288.</w:t>
      </w:r>
    </w:p>
  </w:footnote>
  <w:footnote w:id="12">
    <w:p w:rsidR="00CD6361" w:rsidRPr="00847C27" w:rsidRDefault="00CD6361" w:rsidP="00C35027">
      <w:pPr>
        <w:pStyle w:val="Tekstprzypisudolnego"/>
        <w:rPr>
          <w:rFonts w:ascii="Tahoma" w:hAnsi="Tahoma" w:cs="Tahoma"/>
          <w:sz w:val="18"/>
        </w:rPr>
      </w:pPr>
      <w:r w:rsidRPr="00847C27">
        <w:rPr>
          <w:rStyle w:val="Odwoanieprzypisudolnego"/>
          <w:rFonts w:ascii="Tahoma" w:hAnsi="Tahoma" w:cs="Tahoma"/>
          <w:sz w:val="18"/>
        </w:rPr>
        <w:footnoteRef/>
      </w:r>
      <w:r w:rsidRPr="00847C27">
        <w:rPr>
          <w:rFonts w:ascii="Tahoma" w:hAnsi="Tahoma" w:cs="Tahoma"/>
          <w:sz w:val="18"/>
        </w:rPr>
        <w:t xml:space="preserve"> A. Sakowicz, </w:t>
      </w:r>
      <w:r w:rsidRPr="00847C27">
        <w:rPr>
          <w:rFonts w:ascii="Tahoma" w:hAnsi="Tahoma" w:cs="Tahoma"/>
          <w:i/>
          <w:sz w:val="18"/>
        </w:rPr>
        <w:t xml:space="preserve">Zasada </w:t>
      </w:r>
      <w:proofErr w:type="spellStart"/>
      <w:r w:rsidRPr="00847C27">
        <w:rPr>
          <w:rFonts w:ascii="Tahoma" w:hAnsi="Tahoma" w:cs="Tahoma"/>
          <w:i/>
          <w:sz w:val="18"/>
        </w:rPr>
        <w:t>ne</w:t>
      </w:r>
      <w:proofErr w:type="spellEnd"/>
      <w:r w:rsidRPr="00847C27">
        <w:rPr>
          <w:rFonts w:ascii="Tahoma" w:hAnsi="Tahoma" w:cs="Tahoma"/>
          <w:i/>
          <w:sz w:val="18"/>
        </w:rPr>
        <w:t xml:space="preserve"> bis…</w:t>
      </w:r>
      <w:r w:rsidRPr="00847C27">
        <w:rPr>
          <w:rFonts w:ascii="Tahoma" w:hAnsi="Tahoma" w:cs="Tahoma"/>
          <w:sz w:val="18"/>
        </w:rPr>
        <w:t>,</w:t>
      </w:r>
      <w:r w:rsidRPr="00847C27">
        <w:rPr>
          <w:rFonts w:ascii="Tahoma" w:hAnsi="Tahoma" w:cs="Tahoma"/>
          <w:i/>
          <w:sz w:val="18"/>
        </w:rPr>
        <w:t xml:space="preserve"> </w:t>
      </w:r>
      <w:r w:rsidRPr="00847C27">
        <w:rPr>
          <w:rFonts w:ascii="Tahoma" w:hAnsi="Tahoma" w:cs="Tahoma"/>
          <w:sz w:val="18"/>
        </w:rPr>
        <w:t>s. 228.</w:t>
      </w:r>
    </w:p>
  </w:footnote>
  <w:footnote w:id="13">
    <w:p w:rsidR="00CD6361" w:rsidRPr="00847C27" w:rsidRDefault="00CD6361" w:rsidP="00C35027">
      <w:pPr>
        <w:pStyle w:val="Tekstprzypisudolnego"/>
        <w:rPr>
          <w:rFonts w:ascii="Tahoma" w:hAnsi="Tahoma" w:cs="Tahoma"/>
          <w:sz w:val="18"/>
          <w:lang w:val="en-US"/>
        </w:rPr>
      </w:pPr>
      <w:r w:rsidRPr="00847C27">
        <w:rPr>
          <w:rStyle w:val="Odwoanieprzypisudolnego"/>
          <w:rFonts w:ascii="Tahoma" w:hAnsi="Tahoma" w:cs="Tahoma"/>
          <w:sz w:val="18"/>
        </w:rPr>
        <w:footnoteRef/>
      </w:r>
      <w:r w:rsidRPr="00847C27">
        <w:rPr>
          <w:rFonts w:ascii="Tahoma" w:hAnsi="Tahoma" w:cs="Tahoma"/>
          <w:sz w:val="18"/>
          <w:lang w:val="en-US"/>
        </w:rPr>
        <w:t xml:space="preserve"> M. </w:t>
      </w:r>
      <w:proofErr w:type="spellStart"/>
      <w:r w:rsidRPr="00847C27">
        <w:rPr>
          <w:rFonts w:ascii="Tahoma" w:hAnsi="Tahoma" w:cs="Tahoma"/>
          <w:sz w:val="18"/>
          <w:lang w:val="en-US"/>
        </w:rPr>
        <w:t>Mackarel</w:t>
      </w:r>
      <w:proofErr w:type="spellEnd"/>
      <w:r w:rsidRPr="00847C27">
        <w:rPr>
          <w:rFonts w:ascii="Tahoma" w:hAnsi="Tahoma" w:cs="Tahoma"/>
          <w:sz w:val="18"/>
          <w:lang w:val="en-US"/>
        </w:rPr>
        <w:t xml:space="preserve">, </w:t>
      </w:r>
      <w:r w:rsidRPr="00847C27">
        <w:rPr>
          <w:rFonts w:ascii="Tahoma" w:hAnsi="Tahoma" w:cs="Tahoma"/>
          <w:i/>
          <w:sz w:val="18"/>
          <w:lang w:val="en-US"/>
        </w:rPr>
        <w:t>The European Arrest Warrant – the Early years: implementing and Using the Warrant</w:t>
      </w:r>
      <w:r w:rsidRPr="00847C27">
        <w:rPr>
          <w:rFonts w:ascii="Tahoma" w:hAnsi="Tahoma" w:cs="Tahoma"/>
          <w:sz w:val="18"/>
          <w:lang w:val="en-US"/>
        </w:rPr>
        <w:t>,</w:t>
      </w:r>
      <w:r w:rsidRPr="00847C27">
        <w:rPr>
          <w:rFonts w:ascii="Tahoma" w:hAnsi="Tahoma" w:cs="Tahoma"/>
          <w:i/>
          <w:sz w:val="18"/>
          <w:lang w:val="en-US"/>
        </w:rPr>
        <w:t xml:space="preserve"> </w:t>
      </w:r>
      <w:r w:rsidRPr="00847C27">
        <w:rPr>
          <w:rFonts w:ascii="Tahoma" w:hAnsi="Tahoma" w:cs="Tahoma"/>
          <w:sz w:val="18"/>
          <w:lang w:val="en-US"/>
        </w:rPr>
        <w:t>European Journal of Crime, Criminal Law and Criminal Justice 2007, vol. 15, s. 40.</w:t>
      </w:r>
    </w:p>
  </w:footnote>
  <w:footnote w:id="14">
    <w:p w:rsidR="00CD6361" w:rsidRPr="00847C27" w:rsidRDefault="00CD6361" w:rsidP="00C35027">
      <w:pPr>
        <w:pStyle w:val="Tekstprzypisudolnego"/>
        <w:rPr>
          <w:rFonts w:ascii="Tahoma" w:hAnsi="Tahoma" w:cs="Tahoma"/>
          <w:sz w:val="18"/>
        </w:rPr>
      </w:pPr>
      <w:r w:rsidRPr="00847C27">
        <w:rPr>
          <w:rStyle w:val="Odwoanieprzypisudolnego"/>
          <w:rFonts w:ascii="Tahoma" w:hAnsi="Tahoma" w:cs="Tahoma"/>
          <w:sz w:val="18"/>
        </w:rPr>
        <w:footnoteRef/>
      </w:r>
      <w:r w:rsidRPr="00847C27">
        <w:rPr>
          <w:rFonts w:ascii="Tahoma" w:hAnsi="Tahoma" w:cs="Tahoma"/>
          <w:sz w:val="18"/>
        </w:rPr>
        <w:t xml:space="preserve"> Podjęto próby ujednolicenia tych pojęć, jak choćby poprzez przyjęcie Decyzji ramowej z dnia 13 czerwca 2002 r. w sprawie zwalczania terroryzmu (2002/475/</w:t>
      </w:r>
      <w:proofErr w:type="spellStart"/>
      <w:r w:rsidRPr="00847C27">
        <w:rPr>
          <w:rFonts w:ascii="Tahoma" w:hAnsi="Tahoma" w:cs="Tahoma"/>
          <w:sz w:val="18"/>
        </w:rPr>
        <w:t>WSSiW</w:t>
      </w:r>
      <w:proofErr w:type="spellEnd"/>
      <w:r w:rsidRPr="00847C27">
        <w:rPr>
          <w:rFonts w:ascii="Tahoma" w:hAnsi="Tahoma" w:cs="Tahoma"/>
          <w:sz w:val="18"/>
        </w:rPr>
        <w:t>), jednak implementacja zawartych tam postanowień nie przełożyła się na ich jednolite zdefiniowanie w porządkach krajowych (por. treść art. 115 § 20 k.k. z treścią art. 1 i 3 decyzji w sprawie zwalczania terroryzmu).</w:t>
      </w:r>
    </w:p>
  </w:footnote>
  <w:footnote w:id="15">
    <w:p w:rsidR="00CD6361" w:rsidRPr="00847C27" w:rsidRDefault="00CD6361" w:rsidP="00C35027">
      <w:pPr>
        <w:pStyle w:val="Tekstprzypisudolnego"/>
        <w:rPr>
          <w:rFonts w:ascii="Tahoma" w:hAnsi="Tahoma" w:cs="Tahoma"/>
          <w:sz w:val="18"/>
        </w:rPr>
      </w:pPr>
      <w:r w:rsidRPr="00847C27">
        <w:rPr>
          <w:rStyle w:val="Odwoanieprzypisudolnego"/>
          <w:rFonts w:ascii="Tahoma" w:hAnsi="Tahoma" w:cs="Tahoma"/>
          <w:sz w:val="18"/>
        </w:rPr>
        <w:footnoteRef/>
      </w:r>
      <w:r w:rsidRPr="00847C27">
        <w:rPr>
          <w:rFonts w:ascii="Tahoma" w:hAnsi="Tahoma" w:cs="Tahoma"/>
          <w:sz w:val="18"/>
        </w:rPr>
        <w:t xml:space="preserve"> Zob. wyroki Europejskiego Trybunału Praw Człowieka w sprawach: </w:t>
      </w:r>
      <w:proofErr w:type="spellStart"/>
      <w:r w:rsidRPr="00847C27">
        <w:rPr>
          <w:rFonts w:ascii="Tahoma" w:hAnsi="Tahoma" w:cs="Tahoma"/>
          <w:i/>
          <w:sz w:val="18"/>
        </w:rPr>
        <w:t>Kokkinakis</w:t>
      </w:r>
      <w:proofErr w:type="spellEnd"/>
      <w:r w:rsidRPr="00847C27">
        <w:rPr>
          <w:rFonts w:ascii="Tahoma" w:hAnsi="Tahoma" w:cs="Tahoma"/>
          <w:i/>
          <w:sz w:val="18"/>
        </w:rPr>
        <w:t xml:space="preserve"> przeciwko Grecji</w:t>
      </w:r>
      <w:r w:rsidRPr="00847C27">
        <w:rPr>
          <w:rFonts w:ascii="Tahoma" w:hAnsi="Tahoma" w:cs="Tahoma"/>
          <w:sz w:val="18"/>
        </w:rPr>
        <w:t xml:space="preserve"> z dnia 25 maja 1993 r. (skarga nr 14307/88, § 52), </w:t>
      </w:r>
      <w:proofErr w:type="spellStart"/>
      <w:r w:rsidRPr="00847C27">
        <w:rPr>
          <w:rFonts w:ascii="Tahoma" w:hAnsi="Tahoma" w:cs="Tahoma"/>
          <w:i/>
          <w:sz w:val="18"/>
        </w:rPr>
        <w:t>Dragotoniu</w:t>
      </w:r>
      <w:proofErr w:type="spellEnd"/>
      <w:r w:rsidRPr="00847C27">
        <w:rPr>
          <w:rFonts w:ascii="Tahoma" w:hAnsi="Tahoma" w:cs="Tahoma"/>
          <w:i/>
          <w:sz w:val="18"/>
        </w:rPr>
        <w:t xml:space="preserve"> i </w:t>
      </w:r>
      <w:proofErr w:type="spellStart"/>
      <w:r w:rsidRPr="00847C27">
        <w:rPr>
          <w:rFonts w:ascii="Tahoma" w:hAnsi="Tahoma" w:cs="Tahoma"/>
          <w:i/>
          <w:sz w:val="18"/>
        </w:rPr>
        <w:t>Militrau-Pidhorni</w:t>
      </w:r>
      <w:proofErr w:type="spellEnd"/>
      <w:r w:rsidRPr="00847C27">
        <w:rPr>
          <w:rFonts w:ascii="Tahoma" w:hAnsi="Tahoma" w:cs="Tahoma"/>
          <w:i/>
          <w:sz w:val="18"/>
        </w:rPr>
        <w:t xml:space="preserve"> przeciwko Rumunii</w:t>
      </w:r>
      <w:r w:rsidRPr="00847C27">
        <w:rPr>
          <w:rFonts w:ascii="Tahoma" w:hAnsi="Tahoma" w:cs="Tahoma"/>
          <w:sz w:val="18"/>
        </w:rPr>
        <w:t xml:space="preserve"> z dnia 24 maja 2007 r. (skarga nr 77193/01 i 77196/01, § 36), w których ETPC wskazał, iż niedookreśloność przepisów nie może wyłączać adresatowi normy możliwości przewidzenia skutków prawnokarnych swojego zachowania (wyroki dostępne w bazie http://hudoc.echr.coe.int/, 2.01.2016).</w:t>
      </w:r>
    </w:p>
  </w:footnote>
  <w:footnote w:id="16">
    <w:p w:rsidR="00CD6361" w:rsidRPr="00847C27" w:rsidRDefault="00CD6361" w:rsidP="00C35027">
      <w:pPr>
        <w:pStyle w:val="Tekstprzypisudolnego"/>
        <w:rPr>
          <w:rFonts w:ascii="Tahoma" w:hAnsi="Tahoma" w:cs="Tahoma"/>
          <w:sz w:val="18"/>
        </w:rPr>
      </w:pPr>
      <w:r w:rsidRPr="00847C27">
        <w:rPr>
          <w:rStyle w:val="Odwoanieprzypisudolnego"/>
          <w:rFonts w:ascii="Tahoma" w:hAnsi="Tahoma" w:cs="Tahoma"/>
          <w:sz w:val="18"/>
        </w:rPr>
        <w:footnoteRef/>
      </w:r>
      <w:r w:rsidRPr="00847C27">
        <w:rPr>
          <w:rFonts w:ascii="Tahoma" w:hAnsi="Tahoma" w:cs="Tahoma"/>
          <w:sz w:val="18"/>
        </w:rPr>
        <w:t xml:space="preserve"> Pojęcie to, w ogóle nie jest znane w prawie angielskim czy szkockim. Zob. M. </w:t>
      </w:r>
      <w:proofErr w:type="spellStart"/>
      <w:r w:rsidRPr="00847C27">
        <w:rPr>
          <w:rFonts w:ascii="Tahoma" w:hAnsi="Tahoma" w:cs="Tahoma"/>
          <w:sz w:val="18"/>
        </w:rPr>
        <w:t>Mackarel</w:t>
      </w:r>
      <w:proofErr w:type="spellEnd"/>
      <w:r w:rsidRPr="00847C27">
        <w:rPr>
          <w:rFonts w:ascii="Tahoma" w:hAnsi="Tahoma" w:cs="Tahoma"/>
          <w:sz w:val="18"/>
        </w:rPr>
        <w:t xml:space="preserve">, </w:t>
      </w:r>
      <w:r w:rsidRPr="00847C27">
        <w:rPr>
          <w:rFonts w:ascii="Tahoma" w:hAnsi="Tahoma" w:cs="Tahoma"/>
          <w:i/>
          <w:sz w:val="18"/>
        </w:rPr>
        <w:t xml:space="preserve">The </w:t>
      </w:r>
      <w:proofErr w:type="spellStart"/>
      <w:r w:rsidRPr="00847C27">
        <w:rPr>
          <w:rFonts w:ascii="Tahoma" w:hAnsi="Tahoma" w:cs="Tahoma"/>
          <w:i/>
          <w:sz w:val="18"/>
        </w:rPr>
        <w:t>European</w:t>
      </w:r>
      <w:proofErr w:type="spellEnd"/>
      <w:r w:rsidRPr="00847C27">
        <w:rPr>
          <w:rFonts w:ascii="Tahoma" w:hAnsi="Tahoma" w:cs="Tahoma"/>
          <w:i/>
          <w:sz w:val="18"/>
        </w:rPr>
        <w:t xml:space="preserve"> </w:t>
      </w:r>
      <w:proofErr w:type="spellStart"/>
      <w:r w:rsidRPr="00847C27">
        <w:rPr>
          <w:rFonts w:ascii="Tahoma" w:hAnsi="Tahoma" w:cs="Tahoma"/>
          <w:i/>
          <w:sz w:val="18"/>
        </w:rPr>
        <w:t>Arrest</w:t>
      </w:r>
      <w:proofErr w:type="spellEnd"/>
      <w:r w:rsidRPr="00847C27">
        <w:rPr>
          <w:rFonts w:ascii="Tahoma" w:hAnsi="Tahoma" w:cs="Tahoma"/>
          <w:i/>
          <w:sz w:val="18"/>
        </w:rPr>
        <w:t>…</w:t>
      </w:r>
      <w:r w:rsidRPr="00847C27">
        <w:rPr>
          <w:rFonts w:ascii="Tahoma" w:hAnsi="Tahoma" w:cs="Tahoma"/>
          <w:sz w:val="18"/>
        </w:rPr>
        <w:t>,</w:t>
      </w:r>
      <w:r w:rsidRPr="00847C27">
        <w:rPr>
          <w:rFonts w:ascii="Tahoma" w:hAnsi="Tahoma" w:cs="Tahoma"/>
          <w:i/>
          <w:sz w:val="18"/>
        </w:rPr>
        <w:t xml:space="preserve"> </w:t>
      </w:r>
      <w:r w:rsidRPr="00847C27">
        <w:rPr>
          <w:rFonts w:ascii="Tahoma" w:hAnsi="Tahoma" w:cs="Tahoma"/>
          <w:sz w:val="18"/>
        </w:rPr>
        <w:t>s. 44.</w:t>
      </w:r>
    </w:p>
  </w:footnote>
  <w:footnote w:id="17">
    <w:p w:rsidR="00CD6361" w:rsidRPr="00847C27" w:rsidRDefault="00CD6361" w:rsidP="00C35027">
      <w:pPr>
        <w:pStyle w:val="Tekstprzypisudolnego"/>
        <w:rPr>
          <w:rFonts w:ascii="Tahoma" w:hAnsi="Tahoma" w:cs="Tahoma"/>
          <w:sz w:val="18"/>
        </w:rPr>
      </w:pPr>
      <w:r w:rsidRPr="00847C27">
        <w:rPr>
          <w:rStyle w:val="Odwoanieprzypisudolnego"/>
          <w:rFonts w:ascii="Tahoma" w:hAnsi="Tahoma" w:cs="Tahoma"/>
          <w:sz w:val="18"/>
        </w:rPr>
        <w:footnoteRef/>
      </w:r>
      <w:r w:rsidRPr="00847C27">
        <w:rPr>
          <w:rFonts w:ascii="Tahoma" w:hAnsi="Tahoma" w:cs="Tahoma"/>
          <w:sz w:val="18"/>
        </w:rPr>
        <w:t xml:space="preserve"> M. Płachta, </w:t>
      </w:r>
      <w:r w:rsidRPr="00847C27">
        <w:rPr>
          <w:rFonts w:ascii="Tahoma" w:hAnsi="Tahoma" w:cs="Tahoma"/>
          <w:i/>
          <w:sz w:val="18"/>
        </w:rPr>
        <w:t>Europejski nakaz…</w:t>
      </w:r>
      <w:r w:rsidRPr="00847C27">
        <w:rPr>
          <w:rFonts w:ascii="Tahoma" w:hAnsi="Tahoma" w:cs="Tahoma"/>
          <w:sz w:val="18"/>
        </w:rPr>
        <w:t>, s. 60.</w:t>
      </w:r>
    </w:p>
  </w:footnote>
  <w:footnote w:id="18">
    <w:p w:rsidR="00CD6361" w:rsidRPr="00847C27" w:rsidRDefault="00CD6361" w:rsidP="00C35027">
      <w:pPr>
        <w:pStyle w:val="Tekstprzypisudolnego"/>
        <w:rPr>
          <w:rFonts w:ascii="Tahoma" w:hAnsi="Tahoma" w:cs="Tahoma"/>
          <w:sz w:val="18"/>
        </w:rPr>
      </w:pPr>
      <w:r w:rsidRPr="00847C27">
        <w:rPr>
          <w:rStyle w:val="Odwoanieprzypisudolnego"/>
          <w:rFonts w:ascii="Tahoma" w:hAnsi="Tahoma" w:cs="Tahoma"/>
          <w:sz w:val="18"/>
        </w:rPr>
        <w:footnoteRef/>
      </w:r>
      <w:r w:rsidRPr="00847C27">
        <w:rPr>
          <w:rFonts w:ascii="Tahoma" w:hAnsi="Tahoma" w:cs="Tahoma"/>
          <w:sz w:val="18"/>
        </w:rPr>
        <w:t xml:space="preserve"> W polskiej wersji językowej decyzji, pojęcia zostały przetłumaczone dosłownie i prawidłowo. Jednak polski ustawodawca w art. 607w k.p.k. zmodyfikował je, podejmując próbę dostosowania do pojęć już funkcjonujących w polskim systemie prawnym. Zakres pojęcia „</w:t>
      </w:r>
      <w:proofErr w:type="spellStart"/>
      <w:r w:rsidRPr="00847C27">
        <w:rPr>
          <w:rFonts w:ascii="Tahoma" w:hAnsi="Tahoma" w:cs="Tahoma"/>
          <w:i/>
          <w:sz w:val="18"/>
        </w:rPr>
        <w:t>racketeering</w:t>
      </w:r>
      <w:proofErr w:type="spellEnd"/>
      <w:r w:rsidRPr="00847C27">
        <w:rPr>
          <w:rFonts w:ascii="Tahoma" w:hAnsi="Tahoma" w:cs="Tahoma"/>
          <w:i/>
          <w:sz w:val="18"/>
        </w:rPr>
        <w:t xml:space="preserve">”, </w:t>
      </w:r>
      <w:r w:rsidRPr="00847C27">
        <w:rPr>
          <w:rFonts w:ascii="Tahoma" w:hAnsi="Tahoma" w:cs="Tahoma"/>
          <w:sz w:val="18"/>
        </w:rPr>
        <w:t xml:space="preserve">oznaczającego najpełniej ściąganie haraczy, został ograniczony jedynie do wymuszenia rozbójniczego popełnionego z użyciem broni palnej lub groźby jej użycia – art. 607 w pkt 22 k.p.k. (podkreślenia wymaga, iż polski kodeks karny w art. 282 nie przewiduje kwalifikowanego typu wymuszenia rozbójniczego z użyciem broni, jak czyni to w przypadku przestępstwa rozboju). Podobnie polskie ustawodawstwo nie przewiduje penalizacji przestępstwa podpalenia (dosłowne tłumaczenie pojęcia </w:t>
      </w:r>
      <w:proofErr w:type="spellStart"/>
      <w:r w:rsidRPr="00847C27">
        <w:rPr>
          <w:rFonts w:ascii="Tahoma" w:hAnsi="Tahoma" w:cs="Tahoma"/>
          <w:i/>
          <w:sz w:val="18"/>
        </w:rPr>
        <w:t>arson</w:t>
      </w:r>
      <w:proofErr w:type="spellEnd"/>
      <w:r w:rsidRPr="00847C27">
        <w:rPr>
          <w:rFonts w:ascii="Tahoma" w:hAnsi="Tahoma" w:cs="Tahoma"/>
          <w:sz w:val="18"/>
        </w:rPr>
        <w:t xml:space="preserve"> w art. 607w pkt 30 k.p.k.). Art. 163 § 1 pkt 1 k.k. uznaje za występek sprowadzenie zdarzenia powszechnie niebezpiecznego w postaci pożaru. Podpalenie będzie najczęściej traktowane jako usiłowanie popełnienia występku z art. 163 §1 k.k. lub sprowadzenie bezpośredniego niebezpieczeństwa ta</w:t>
      </w:r>
      <w:r w:rsidR="0091705E">
        <w:rPr>
          <w:rFonts w:ascii="Tahoma" w:hAnsi="Tahoma" w:cs="Tahoma"/>
          <w:sz w:val="18"/>
        </w:rPr>
        <w:t>kiego zdarzenia (art. 164 k.k.)</w:t>
      </w:r>
      <w:bookmarkStart w:id="0" w:name="_GoBack"/>
      <w:bookmarkEnd w:id="0"/>
    </w:p>
  </w:footnote>
  <w:footnote w:id="19">
    <w:p w:rsidR="00CD6361" w:rsidRPr="00847C27" w:rsidRDefault="00CD6361" w:rsidP="00C35027">
      <w:pPr>
        <w:pStyle w:val="Tekstprzypisudolnego"/>
        <w:keepNext/>
        <w:widowControl w:val="0"/>
        <w:rPr>
          <w:rFonts w:ascii="Tahoma" w:hAnsi="Tahoma" w:cs="Tahoma"/>
          <w:sz w:val="18"/>
        </w:rPr>
      </w:pPr>
      <w:r w:rsidRPr="00847C27">
        <w:rPr>
          <w:rStyle w:val="Odwoanieprzypisudolnego"/>
          <w:rFonts w:ascii="Tahoma" w:hAnsi="Tahoma" w:cs="Tahoma"/>
          <w:sz w:val="18"/>
        </w:rPr>
        <w:footnoteRef/>
      </w:r>
      <w:r w:rsidRPr="00847C27">
        <w:rPr>
          <w:rFonts w:ascii="Tahoma" w:hAnsi="Tahoma" w:cs="Tahoma"/>
          <w:sz w:val="18"/>
        </w:rPr>
        <w:t xml:space="preserve"> R. </w:t>
      </w:r>
      <w:proofErr w:type="spellStart"/>
      <w:r w:rsidRPr="00847C27">
        <w:rPr>
          <w:rFonts w:ascii="Tahoma" w:hAnsi="Tahoma" w:cs="Tahoma"/>
          <w:sz w:val="18"/>
        </w:rPr>
        <w:t>Potorski</w:t>
      </w:r>
      <w:proofErr w:type="spellEnd"/>
      <w:r w:rsidRPr="00847C27">
        <w:rPr>
          <w:rFonts w:ascii="Tahoma" w:hAnsi="Tahoma" w:cs="Tahoma"/>
          <w:sz w:val="18"/>
        </w:rPr>
        <w:t xml:space="preserve">, </w:t>
      </w:r>
      <w:r w:rsidRPr="00847C27">
        <w:rPr>
          <w:rFonts w:ascii="Tahoma" w:hAnsi="Tahoma" w:cs="Tahoma"/>
          <w:i/>
          <w:sz w:val="18"/>
        </w:rPr>
        <w:t>Współpraca policyjna i sądowa w sprawach karnych w Unii Europejskiej – geneza, struktury, działania</w:t>
      </w:r>
      <w:r w:rsidRPr="00847C27">
        <w:rPr>
          <w:rFonts w:ascii="Tahoma" w:hAnsi="Tahoma" w:cs="Tahoma"/>
          <w:sz w:val="18"/>
        </w:rPr>
        <w:t>,</w:t>
      </w:r>
      <w:r w:rsidRPr="00847C27">
        <w:rPr>
          <w:rFonts w:ascii="Tahoma" w:hAnsi="Tahoma" w:cs="Tahoma"/>
          <w:i/>
          <w:sz w:val="18"/>
        </w:rPr>
        <w:t xml:space="preserve"> </w:t>
      </w:r>
      <w:r w:rsidRPr="00847C27">
        <w:rPr>
          <w:rFonts w:ascii="Tahoma" w:hAnsi="Tahoma" w:cs="Tahoma"/>
          <w:sz w:val="18"/>
        </w:rPr>
        <w:t>Toruń 2011, s. 181. Dla przykładu, w Irlandii aborcja zaliczana jest do zakresu pojęcia morderstwo, podczas kiedy w Polsce dokonanie nielegalnej aborcji jest odrębnie penalizowanym czynem, zaś w Wielkiej Brytanii przeprowadzanie aborcji nie napotyka żadnych ograniczeń normatywnych.</w:t>
      </w:r>
    </w:p>
  </w:footnote>
  <w:footnote w:id="20">
    <w:p w:rsidR="00CD6361" w:rsidRPr="00847C27" w:rsidRDefault="00CD6361" w:rsidP="00C35027">
      <w:pPr>
        <w:pStyle w:val="Tekstprzypisudolnego"/>
        <w:keepNext/>
        <w:widowControl w:val="0"/>
        <w:rPr>
          <w:rFonts w:ascii="Tahoma" w:hAnsi="Tahoma" w:cs="Tahoma"/>
          <w:sz w:val="18"/>
        </w:rPr>
      </w:pPr>
      <w:r w:rsidRPr="00847C27">
        <w:rPr>
          <w:rStyle w:val="Odwoanieprzypisudolnego"/>
          <w:rFonts w:ascii="Tahoma" w:hAnsi="Tahoma" w:cs="Tahoma"/>
          <w:sz w:val="18"/>
        </w:rPr>
        <w:footnoteRef/>
      </w:r>
      <w:r w:rsidR="006D1790" w:rsidRPr="00847C27">
        <w:rPr>
          <w:rFonts w:ascii="Tahoma" w:hAnsi="Tahoma" w:cs="Tahoma"/>
          <w:sz w:val="18"/>
        </w:rPr>
        <w:t>M.</w:t>
      </w:r>
      <w:r w:rsidRPr="00847C27">
        <w:rPr>
          <w:rFonts w:ascii="Tahoma" w:hAnsi="Tahoma" w:cs="Tahoma"/>
          <w:sz w:val="18"/>
        </w:rPr>
        <w:t xml:space="preserve"> L. Gardocki, </w:t>
      </w:r>
      <w:r w:rsidRPr="00847C27">
        <w:rPr>
          <w:rFonts w:ascii="Tahoma" w:hAnsi="Tahoma" w:cs="Tahoma"/>
          <w:i/>
          <w:sz w:val="18"/>
        </w:rPr>
        <w:t xml:space="preserve">Podwójna przestępność czynu w prawie ekstradycyjnym </w:t>
      </w:r>
      <w:r w:rsidRPr="00847C27">
        <w:rPr>
          <w:rFonts w:ascii="Tahoma" w:hAnsi="Tahoma" w:cs="Tahoma"/>
          <w:sz w:val="18"/>
        </w:rPr>
        <w:t xml:space="preserve">[w:] </w:t>
      </w:r>
      <w:r w:rsidRPr="00847C27">
        <w:rPr>
          <w:rFonts w:ascii="Tahoma" w:hAnsi="Tahoma" w:cs="Tahoma"/>
          <w:i/>
          <w:sz w:val="18"/>
        </w:rPr>
        <w:t xml:space="preserve">Problemy nauk penalnych: prace ofiarowane Pani </w:t>
      </w:r>
      <w:proofErr w:type="spellStart"/>
      <w:r w:rsidRPr="00847C27">
        <w:rPr>
          <w:rFonts w:ascii="Tahoma" w:hAnsi="Tahoma" w:cs="Tahoma"/>
          <w:i/>
          <w:sz w:val="18"/>
        </w:rPr>
        <w:t>Pofesor</w:t>
      </w:r>
      <w:proofErr w:type="spellEnd"/>
      <w:r w:rsidRPr="00847C27">
        <w:rPr>
          <w:rFonts w:ascii="Tahoma" w:hAnsi="Tahoma" w:cs="Tahoma"/>
          <w:i/>
          <w:sz w:val="18"/>
        </w:rPr>
        <w:t xml:space="preserve"> Oktawii </w:t>
      </w:r>
      <w:proofErr w:type="spellStart"/>
      <w:r w:rsidRPr="00847C27">
        <w:rPr>
          <w:rFonts w:ascii="Tahoma" w:hAnsi="Tahoma" w:cs="Tahoma"/>
          <w:i/>
          <w:sz w:val="18"/>
        </w:rPr>
        <w:t>Górniok</w:t>
      </w:r>
      <w:proofErr w:type="spellEnd"/>
      <w:r w:rsidRPr="00847C27">
        <w:rPr>
          <w:rFonts w:ascii="Tahoma" w:hAnsi="Tahoma" w:cs="Tahoma"/>
          <w:sz w:val="18"/>
        </w:rPr>
        <w:t>, L. Tyszkiewicz</w:t>
      </w:r>
      <w:r w:rsidR="00FF1408" w:rsidRPr="00847C27">
        <w:rPr>
          <w:rFonts w:ascii="Tahoma" w:hAnsi="Tahoma" w:cs="Tahoma"/>
          <w:sz w:val="18"/>
        </w:rPr>
        <w:t xml:space="preserve"> (red.)</w:t>
      </w:r>
      <w:r w:rsidRPr="00847C27">
        <w:rPr>
          <w:rFonts w:ascii="Tahoma" w:hAnsi="Tahoma" w:cs="Tahoma"/>
          <w:sz w:val="18"/>
        </w:rPr>
        <w:t>, Katowice 1996, s. 71.</w:t>
      </w:r>
    </w:p>
  </w:footnote>
  <w:footnote w:id="21">
    <w:p w:rsidR="00CD6361" w:rsidRPr="00847C27" w:rsidRDefault="00CD6361" w:rsidP="00C35027">
      <w:pPr>
        <w:pStyle w:val="Tekstprzypisudolnego"/>
        <w:keepNext/>
        <w:widowControl w:val="0"/>
        <w:rPr>
          <w:rFonts w:ascii="Tahoma" w:hAnsi="Tahoma" w:cs="Tahoma"/>
          <w:sz w:val="18"/>
        </w:rPr>
      </w:pPr>
      <w:r w:rsidRPr="00847C27">
        <w:rPr>
          <w:rStyle w:val="Odwoanieprzypisudolnego"/>
          <w:rFonts w:ascii="Tahoma" w:hAnsi="Tahoma" w:cs="Tahoma"/>
          <w:sz w:val="18"/>
        </w:rPr>
        <w:footnoteRef/>
      </w:r>
      <w:r w:rsidRPr="00847C27">
        <w:rPr>
          <w:rFonts w:ascii="Tahoma" w:hAnsi="Tahoma" w:cs="Tahoma"/>
          <w:sz w:val="18"/>
        </w:rPr>
        <w:t xml:space="preserve"> A. Adamski, J. Bojarski, P. </w:t>
      </w:r>
      <w:proofErr w:type="spellStart"/>
      <w:r w:rsidRPr="00847C27">
        <w:rPr>
          <w:rFonts w:ascii="Tahoma" w:hAnsi="Tahoma" w:cs="Tahoma"/>
          <w:sz w:val="18"/>
        </w:rPr>
        <w:t>Chrzczonowicz</w:t>
      </w:r>
      <w:proofErr w:type="spellEnd"/>
      <w:r w:rsidRPr="00847C27">
        <w:rPr>
          <w:rFonts w:ascii="Tahoma" w:hAnsi="Tahoma" w:cs="Tahoma"/>
          <w:sz w:val="18"/>
        </w:rPr>
        <w:t xml:space="preserve">, M. Filar, P. </w:t>
      </w:r>
      <w:proofErr w:type="spellStart"/>
      <w:r w:rsidRPr="00847C27">
        <w:rPr>
          <w:rFonts w:ascii="Tahoma" w:hAnsi="Tahoma" w:cs="Tahoma"/>
          <w:sz w:val="18"/>
        </w:rPr>
        <w:t>Girdwoyń</w:t>
      </w:r>
      <w:proofErr w:type="spellEnd"/>
      <w:r w:rsidRPr="00847C27">
        <w:rPr>
          <w:rFonts w:ascii="Tahoma" w:hAnsi="Tahoma" w:cs="Tahoma"/>
          <w:sz w:val="18"/>
        </w:rPr>
        <w:t xml:space="preserve">, </w:t>
      </w:r>
      <w:r w:rsidRPr="00847C27">
        <w:rPr>
          <w:rFonts w:ascii="Tahoma" w:hAnsi="Tahoma" w:cs="Tahoma"/>
          <w:i/>
          <w:sz w:val="18"/>
        </w:rPr>
        <w:t>Prawo karne…</w:t>
      </w:r>
      <w:r w:rsidRPr="00847C27">
        <w:rPr>
          <w:rFonts w:ascii="Tahoma" w:hAnsi="Tahoma" w:cs="Tahoma"/>
          <w:sz w:val="18"/>
        </w:rPr>
        <w:t>, s. 319.</w:t>
      </w:r>
    </w:p>
  </w:footnote>
  <w:footnote w:id="22">
    <w:p w:rsidR="00CD6361" w:rsidRPr="00847C27" w:rsidRDefault="00CD6361" w:rsidP="00C35027">
      <w:pPr>
        <w:pStyle w:val="Tekstprzypisudolnego"/>
        <w:keepNext/>
        <w:widowControl w:val="0"/>
        <w:rPr>
          <w:rFonts w:ascii="Tahoma" w:hAnsi="Tahoma" w:cs="Tahoma"/>
          <w:sz w:val="18"/>
        </w:rPr>
      </w:pPr>
      <w:r w:rsidRPr="00847C27">
        <w:rPr>
          <w:rStyle w:val="Odwoanieprzypisudolnego"/>
          <w:rFonts w:ascii="Tahoma" w:hAnsi="Tahoma" w:cs="Tahoma"/>
          <w:sz w:val="18"/>
        </w:rPr>
        <w:footnoteRef/>
      </w:r>
      <w:r w:rsidRPr="00847C27">
        <w:rPr>
          <w:rFonts w:ascii="Tahoma" w:hAnsi="Tahoma" w:cs="Tahoma"/>
          <w:sz w:val="18"/>
        </w:rPr>
        <w:t xml:space="preserve"> Tamże, s. 331.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361"/>
    <w:rsid w:val="002B460C"/>
    <w:rsid w:val="00335D42"/>
    <w:rsid w:val="003B4BB0"/>
    <w:rsid w:val="005049D5"/>
    <w:rsid w:val="00603516"/>
    <w:rsid w:val="006D1790"/>
    <w:rsid w:val="00847C27"/>
    <w:rsid w:val="0091705E"/>
    <w:rsid w:val="00A40FBD"/>
    <w:rsid w:val="00BF4F7E"/>
    <w:rsid w:val="00C35027"/>
    <w:rsid w:val="00CD6361"/>
    <w:rsid w:val="00FE1285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EDAB"/>
  <w15:chartTrackingRefBased/>
  <w15:docId w15:val="{2D38D83B-DE59-4C51-86C3-44FAE431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6361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36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D63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6361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D6361"/>
    <w:rPr>
      <w:vertAlign w:val="superscript"/>
    </w:rPr>
  </w:style>
  <w:style w:type="paragraph" w:styleId="Bezodstpw">
    <w:name w:val="No Spacing"/>
    <w:uiPriority w:val="1"/>
    <w:qFormat/>
    <w:rsid w:val="00CD6361"/>
    <w:pPr>
      <w:spacing w:after="0" w:line="240" w:lineRule="auto"/>
    </w:pPr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63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6361"/>
    <w:rPr>
      <w:rFonts w:ascii="Times New Roman" w:hAnsi="Times New Roman"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D6361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D636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Gellson23</dc:creator>
  <cp:keywords/>
  <dc:description/>
  <cp:lastModifiedBy>Paweł Dawid NICAŁ</cp:lastModifiedBy>
  <cp:revision>2</cp:revision>
  <dcterms:created xsi:type="dcterms:W3CDTF">2019-03-10T22:36:00Z</dcterms:created>
  <dcterms:modified xsi:type="dcterms:W3CDTF">2019-03-10T22:36:00Z</dcterms:modified>
</cp:coreProperties>
</file>